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9EFBE62">
      <w:pPr>
        <w:spacing w:line="360" w:lineRule="auto"/>
        <w:jc w:val="left"/>
      </w:pPr>
      <w:bookmarkStart w:id="0" w:name="_GoBack"/>
      <w:bookmarkEnd w:id="0"/>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11557000</wp:posOffset>
            </wp:positionH>
            <wp:positionV relativeFrom="topMargin">
              <wp:posOffset>11569700</wp:posOffset>
            </wp:positionV>
            <wp:extent cx="444500" cy="254000"/>
            <wp:effectExtent l="0" t="0" r="12700" b="12700"/>
            <wp:wrapNone/>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pic:cNvPicPr>
                      <a:picLocks noChangeAspect="1"/>
                    </pic:cNvPicPr>
                  </pic:nvPicPr>
                  <pic:blipFill>
                    <a:blip r:embed="rId10"/>
                    <a:stretch>
                      <a:fillRect/>
                    </a:stretch>
                  </pic:blipFill>
                  <pic:spPr>
                    <a:xfrm>
                      <a:off x="0" y="0"/>
                      <a:ext cx="444500" cy="254000"/>
                    </a:xfrm>
                    <a:prstGeom prst="rect">
                      <a:avLst/>
                    </a:prstGeom>
                  </pic:spPr>
                </pic:pic>
              </a:graphicData>
            </a:graphic>
          </wp:anchor>
        </w:drawing>
      </w:r>
      <w:r>
        <w:rPr>
          <w:rFonts w:ascii="宋体" w:hAnsi="宋体" w:eastAsia="宋体" w:cs="宋体"/>
          <w:b/>
          <w:color w:val="auto"/>
          <w:sz w:val="24"/>
        </w:rPr>
        <w:t>机密</w:t>
      </w:r>
      <w:r>
        <w:rPr>
          <w:rFonts w:ascii="Segoe UI Symbol" w:hAnsi="Segoe UI Symbol" w:eastAsia="Segoe UI Symbol" w:cs="Segoe UI Symbol"/>
          <w:b/>
          <w:color w:val="auto"/>
          <w:sz w:val="24"/>
        </w:rPr>
        <w:t>★</w:t>
      </w:r>
      <w:r>
        <w:rPr>
          <w:rFonts w:ascii="宋体" w:hAnsi="宋体" w:eastAsia="宋体" w:cs="宋体"/>
          <w:b/>
          <w:color w:val="auto"/>
          <w:sz w:val="24"/>
        </w:rPr>
        <w:t>启用前</w:t>
      </w:r>
    </w:p>
    <w:p w14:paraId="75126A25">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75" w:afterAutospacing="0" w:line="360" w:lineRule="auto"/>
        <w:ind w:left="0" w:right="0"/>
        <w:jc w:val="center"/>
        <w:rPr>
          <w:rFonts w:ascii="宋体" w:hAnsi="宋体" w:eastAsia="宋体" w:cs="宋体"/>
          <w:b/>
          <w:color w:val="auto"/>
          <w:sz w:val="32"/>
        </w:rPr>
      </w:pPr>
      <w:r>
        <w:rPr>
          <w:rStyle w:val="7"/>
          <w:rFonts w:hint="eastAsia" w:asciiTheme="majorEastAsia" w:hAnsiTheme="majorEastAsia" w:eastAsiaTheme="majorEastAsia" w:cstheme="majorEastAsia"/>
          <w:color w:val="000000"/>
          <w:sz w:val="30"/>
          <w:szCs w:val="30"/>
        </w:rPr>
        <w:t>2023年辽宁省普通高等学校招生选择性考试</w:t>
      </w:r>
    </w:p>
    <w:p w14:paraId="7AA1D0FE">
      <w:pPr>
        <w:spacing w:line="360" w:lineRule="auto"/>
        <w:jc w:val="center"/>
      </w:pPr>
      <w:r>
        <w:rPr>
          <w:rFonts w:ascii="宋体" w:hAnsi="宋体" w:eastAsia="宋体" w:cs="宋体"/>
          <w:b/>
          <w:color w:val="auto"/>
          <w:sz w:val="32"/>
        </w:rPr>
        <w:t>科目：生物学</w:t>
      </w:r>
    </w:p>
    <w:p w14:paraId="48A3D0B5">
      <w:pPr>
        <w:spacing w:line="360" w:lineRule="auto"/>
        <w:jc w:val="center"/>
      </w:pPr>
      <w:r>
        <w:rPr>
          <w:rFonts w:ascii="宋体" w:hAnsi="宋体" w:eastAsia="宋体" w:cs="宋体"/>
          <w:b/>
          <w:color w:val="auto"/>
          <w:sz w:val="32"/>
        </w:rPr>
        <w:t>（试题卷）</w:t>
      </w:r>
    </w:p>
    <w:p w14:paraId="4A948CC9">
      <w:pPr>
        <w:spacing w:line="360" w:lineRule="auto"/>
        <w:jc w:val="left"/>
      </w:pPr>
      <w:r>
        <w:rPr>
          <w:rFonts w:ascii="宋体" w:hAnsi="宋体" w:eastAsia="宋体" w:cs="宋体"/>
          <w:b/>
          <w:color w:val="auto"/>
          <w:sz w:val="24"/>
        </w:rPr>
        <w:t>注意事项：</w:t>
      </w:r>
    </w:p>
    <w:p w14:paraId="4E1E7815">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．答卷前，考生须在答题卡和试题卷上规定的位置，准确填写本人姓名、准考证号，并核对条形码上的信息。确认无误后，将条形码粘贴在答题卡上相应位置。</w:t>
      </w:r>
    </w:p>
    <w:p w14:paraId="3A5A9DE1">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．考生须在答题卡上各题目规定答题区域内答题，超出答题区域书写的答案无效。在草稿纸、试题卷上答题无效。</w:t>
      </w:r>
    </w:p>
    <w:p w14:paraId="5A2DBAA5">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．考试结束，将本试题卷和答题卡一并交回。</w:t>
      </w:r>
    </w:p>
    <w:p w14:paraId="34DAA0B6">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．本试题卷共</w:t>
      </w:r>
      <w:r>
        <w:rPr>
          <w:rFonts w:ascii="Times New Roman" w:hAnsi="Times New Roman" w:eastAsia="Times New Roman" w:cs="Times New Roman"/>
          <w:b/>
          <w:color w:val="auto"/>
          <w:sz w:val="24"/>
        </w:rPr>
        <w:t>10</w:t>
      </w:r>
      <w:r>
        <w:rPr>
          <w:rFonts w:ascii="宋体" w:hAnsi="宋体" w:eastAsia="宋体" w:cs="宋体"/>
          <w:b/>
          <w:color w:val="auto"/>
          <w:sz w:val="24"/>
        </w:rPr>
        <w:t>页，如缺页，考生须声明，否则后果自负。</w:t>
      </w:r>
    </w:p>
    <w:p w14:paraId="6BB3B489">
      <w:pPr>
        <w:spacing w:line="360" w:lineRule="auto"/>
        <w:jc w:val="left"/>
      </w:pPr>
      <w:r>
        <w:rPr>
          <w:rFonts w:ascii="宋体" w:hAnsi="宋体" w:eastAsia="宋体" w:cs="宋体"/>
          <w:b/>
          <w:color w:val="auto"/>
          <w:sz w:val="24"/>
        </w:rPr>
        <w:t>姓</w:t>
      </w:r>
      <w:r>
        <w:rPr>
          <w:rFonts w:ascii="Times New Roman" w:hAnsi="Times New Roman" w:eastAsia="Times New Roman" w:cs="Times New Roman"/>
          <w:b/>
          <w:color w:val="auto"/>
          <w:sz w:val="24"/>
        </w:rPr>
        <w:t xml:space="preserve">    </w:t>
      </w:r>
      <w:r>
        <w:rPr>
          <w:rFonts w:ascii="宋体" w:hAnsi="宋体" w:eastAsia="宋体" w:cs="宋体"/>
          <w:b/>
          <w:color w:val="auto"/>
          <w:sz w:val="24"/>
        </w:rPr>
        <w:t>名</w:t>
      </w:r>
      <w:r>
        <w:rPr>
          <w:rFonts w:ascii="Times New Roman" w:hAnsi="Times New Roman" w:eastAsia="Times New Roman" w:cs="Times New Roman"/>
          <w:b/>
          <w:color w:val="auto"/>
          <w:sz w:val="24"/>
        </w:rPr>
        <w:t xml:space="preserve"> _____</w:t>
      </w:r>
    </w:p>
    <w:p w14:paraId="3E75E7F2">
      <w:pPr>
        <w:spacing w:line="360" w:lineRule="auto"/>
        <w:jc w:val="left"/>
      </w:pPr>
      <w:r>
        <w:rPr>
          <w:rFonts w:ascii="宋体" w:hAnsi="宋体" w:eastAsia="宋体" w:cs="宋体"/>
          <w:b/>
          <w:color w:val="auto"/>
          <w:sz w:val="24"/>
        </w:rPr>
        <w:t>准考证号</w:t>
      </w:r>
      <w:r>
        <w:rPr>
          <w:rFonts w:ascii="Times New Roman" w:hAnsi="Times New Roman" w:eastAsia="Times New Roman" w:cs="Times New Roman"/>
          <w:b/>
          <w:color w:val="auto"/>
          <w:sz w:val="24"/>
        </w:rPr>
        <w:t xml:space="preserve"> _____</w:t>
      </w:r>
    </w:p>
    <w:p w14:paraId="6482F5E5">
      <w:pPr>
        <w:spacing w:line="360" w:lineRule="auto"/>
        <w:jc w:val="left"/>
      </w:pPr>
      <w:r>
        <w:rPr>
          <w:rFonts w:ascii="宋体" w:hAnsi="宋体" w:eastAsia="宋体" w:cs="宋体"/>
          <w:b/>
          <w:color w:val="auto"/>
          <w:sz w:val="24"/>
        </w:rPr>
        <w:t>机密</w:t>
      </w:r>
      <w:r>
        <w:rPr>
          <w:rFonts w:ascii="Segoe UI Symbol" w:hAnsi="Segoe UI Symbol" w:eastAsia="Segoe UI Symbol" w:cs="Segoe UI Symbol"/>
          <w:b/>
          <w:color w:val="auto"/>
          <w:sz w:val="24"/>
        </w:rPr>
        <w:t>★</w:t>
      </w:r>
      <w:r>
        <w:rPr>
          <w:rFonts w:ascii="宋体" w:hAnsi="宋体" w:eastAsia="宋体" w:cs="宋体"/>
          <w:b/>
          <w:color w:val="auto"/>
          <w:sz w:val="24"/>
        </w:rPr>
        <w:t>启用前</w:t>
      </w:r>
    </w:p>
    <w:p w14:paraId="0A396774">
      <w:pPr>
        <w:spacing w:line="360" w:lineRule="auto"/>
        <w:jc w:val="center"/>
      </w:pPr>
      <w:r>
        <w:rPr>
          <w:rFonts w:ascii="Times New Roman" w:hAnsi="Times New Roman" w:eastAsia="Times New Roman" w:cs="Times New Roman"/>
          <w:b/>
          <w:color w:val="auto"/>
          <w:sz w:val="32"/>
        </w:rPr>
        <w:t>2023</w:t>
      </w:r>
      <w:r>
        <w:rPr>
          <w:rFonts w:ascii="宋体" w:hAnsi="宋体" w:eastAsia="宋体" w:cs="宋体"/>
          <w:b/>
          <w:color w:val="auto"/>
          <w:sz w:val="32"/>
        </w:rPr>
        <w:t>年辽宁省普通高等学校招生选择性考试</w:t>
      </w:r>
    </w:p>
    <w:p w14:paraId="38B52FBF">
      <w:pPr>
        <w:spacing w:line="360" w:lineRule="auto"/>
        <w:jc w:val="center"/>
      </w:pPr>
      <w:r>
        <w:rPr>
          <w:rFonts w:ascii="宋体" w:hAnsi="宋体" w:eastAsia="宋体" w:cs="宋体"/>
          <w:b/>
          <w:color w:val="auto"/>
          <w:sz w:val="32"/>
        </w:rPr>
        <w:t>生物学</w:t>
      </w:r>
    </w:p>
    <w:p w14:paraId="54E42724">
      <w:pPr>
        <w:spacing w:line="360" w:lineRule="auto"/>
        <w:jc w:val="left"/>
      </w:pPr>
      <w:r>
        <w:rPr>
          <w:rFonts w:ascii="宋体" w:hAnsi="宋体" w:eastAsia="宋体" w:cs="宋体"/>
          <w:b/>
          <w:color w:val="auto"/>
          <w:sz w:val="24"/>
        </w:rPr>
        <w:t>注意事项：</w:t>
      </w:r>
    </w:p>
    <w:p w14:paraId="145FFB74">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．答卷前，考生务必将自己的姓名、准考证号填写在答题卡上。</w:t>
      </w:r>
    </w:p>
    <w:p w14:paraId="41960C18">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．答选择题时，选出每小题答案后，用铅笔把答题卡对应题目的答案标号涂黑。如需改动，用橡皮擦干净后，再选涂其他答案标号。答非选择题时，将答案写在答题卡上。写在本试卷上无效。</w:t>
      </w:r>
    </w:p>
    <w:p w14:paraId="6C045E59">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．考试结束后，将本试卷和答题卡一并交回。</w:t>
      </w:r>
    </w:p>
    <w:p w14:paraId="6F1D0BD4">
      <w:pPr>
        <w:spacing w:line="360" w:lineRule="auto"/>
        <w:jc w:val="left"/>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分。在每小题给出的四个选项中，只有一项符合题目要求。</w:t>
      </w:r>
    </w:p>
    <w:p w14:paraId="20261899">
      <w:pPr>
        <w:spacing w:line="360" w:lineRule="auto"/>
        <w:jc w:val="left"/>
      </w:pPr>
      <w:r>
        <w:rPr>
          <w:color w:val="auto"/>
        </w:rPr>
        <w:t xml:space="preserve">1. </w:t>
      </w:r>
      <w:r>
        <w:rPr>
          <w:rFonts w:ascii="宋体" w:hAnsi="宋体" w:eastAsia="宋体" w:cs="宋体"/>
          <w:color w:val="auto"/>
        </w:rPr>
        <w:t>科学家根据对部分植物细胞观察的结果，得出“植物细胞都有细胞核”的结论。下列叙述错误的是（</w:t>
      </w:r>
      <w:r>
        <w:rPr>
          <w:rFonts w:ascii="Times New Roman" w:hAnsi="Times New Roman" w:eastAsia="Times New Roman" w:cs="Times New Roman"/>
          <w:color w:val="auto"/>
        </w:rPr>
        <w:t xml:space="preserve">    </w:t>
      </w:r>
      <w:r>
        <w:rPr>
          <w:rFonts w:ascii="宋体" w:hAnsi="宋体" w:eastAsia="宋体" w:cs="宋体"/>
          <w:color w:val="auto"/>
        </w:rPr>
        <w:t>）</w:t>
      </w:r>
    </w:p>
    <w:p w14:paraId="565239FE">
      <w:pPr>
        <w:spacing w:line="360" w:lineRule="auto"/>
        <w:jc w:val="left"/>
        <w:textAlignment w:val="center"/>
        <w:rPr>
          <w:color w:val="auto"/>
        </w:rPr>
      </w:pPr>
      <w:r>
        <w:t xml:space="preserve">A. </w:t>
      </w:r>
      <w:r>
        <w:rPr>
          <w:rFonts w:ascii="宋体" w:hAnsi="宋体" w:eastAsia="宋体" w:cs="宋体"/>
          <w:color w:val="auto"/>
        </w:rPr>
        <w:t>早期的细胞研究主要运用了观察法</w:t>
      </w:r>
    </w:p>
    <w:p w14:paraId="17E6DB50">
      <w:pPr>
        <w:spacing w:line="360" w:lineRule="auto"/>
        <w:jc w:val="left"/>
        <w:textAlignment w:val="center"/>
        <w:rPr>
          <w:color w:val="auto"/>
        </w:rPr>
      </w:pPr>
      <w:r>
        <w:t xml:space="preserve">B. </w:t>
      </w:r>
      <w:r>
        <w:rPr>
          <w:rFonts w:ascii="宋体" w:hAnsi="宋体" w:eastAsia="宋体" w:cs="宋体"/>
          <w:color w:val="auto"/>
        </w:rPr>
        <w:t>上述结论的得出运用了归纳法</w:t>
      </w:r>
    </w:p>
    <w:p w14:paraId="7214ACDF">
      <w:pPr>
        <w:spacing w:line="360" w:lineRule="auto"/>
        <w:jc w:val="left"/>
        <w:textAlignment w:val="center"/>
        <w:rPr>
          <w:color w:val="auto"/>
        </w:rPr>
      </w:pPr>
      <w:r>
        <w:t xml:space="preserve">C. </w:t>
      </w:r>
      <w:r>
        <w:rPr>
          <w:rFonts w:ascii="宋体" w:hAnsi="宋体" w:eastAsia="宋体" w:cs="宋体"/>
          <w:color w:val="auto"/>
        </w:rPr>
        <w:t>运用假说</w:t>
      </w:r>
      <w:r>
        <w:rPr>
          <w:rFonts w:ascii="Times New Roman" w:hAnsi="Times New Roman" w:eastAsia="Times New Roman" w:cs="Times New Roman"/>
          <w:color w:val="auto"/>
        </w:rPr>
        <w:t>—</w:t>
      </w:r>
      <w:r>
        <w:rPr>
          <w:rFonts w:ascii="宋体" w:hAnsi="宋体" w:eastAsia="宋体" w:cs="宋体"/>
          <w:color w:val="auto"/>
        </w:rPr>
        <w:t>演绎法将上述结论推演至原核细胞也成立</w:t>
      </w:r>
    </w:p>
    <w:p w14:paraId="155206E8">
      <w:pPr>
        <w:spacing w:line="360" w:lineRule="auto"/>
        <w:jc w:val="left"/>
        <w:textAlignment w:val="center"/>
        <w:rPr>
          <w:color w:val="000000"/>
        </w:rPr>
      </w:pPr>
      <w:r>
        <w:t xml:space="preserve">D. </w:t>
      </w:r>
      <w:r>
        <w:rPr>
          <w:rFonts w:ascii="宋体" w:hAnsi="宋体" w:eastAsia="宋体" w:cs="宋体"/>
          <w:color w:val="auto"/>
        </w:rPr>
        <w:t>利用同位素标记法可研究细胞核内</w:t>
      </w:r>
      <w:r>
        <w:rPr>
          <w:rFonts w:ascii="宋体" w:hAnsi="宋体" w:eastAsia="宋体" w:cs="宋体"/>
          <w:color w:val="auto"/>
          <w:position w:val="0"/>
        </w:rPr>
        <w:drawing>
          <wp:inline distT="0" distB="0" distL="114300" distR="114300">
            <wp:extent cx="133350" cy="177800"/>
            <wp:effectExtent l="0" t="0" r="0" b="13335"/>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物质变化</w:t>
      </w:r>
    </w:p>
    <w:p w14:paraId="33AD2DA4">
      <w:pPr>
        <w:spacing w:line="360" w:lineRule="auto"/>
        <w:jc w:val="left"/>
        <w:textAlignment w:val="center"/>
        <w:rPr>
          <w:color w:val="000000"/>
        </w:rPr>
      </w:pPr>
      <w:r>
        <w:rPr>
          <w:color w:val="000000"/>
        </w:rPr>
        <w:t xml:space="preserve">2. </w:t>
      </w:r>
      <w:r>
        <w:rPr>
          <w:rFonts w:ascii="宋体" w:hAnsi="宋体" w:eastAsia="宋体" w:cs="宋体"/>
          <w:color w:val="000000"/>
        </w:rPr>
        <w:t>葡萄与爬山虎均是葡萄科常见植物，将二倍体爬山虎的花粉涂在未受粉的二倍体葡萄柱头上，可获得无子葡萄。下列叙述正确的是（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25F5204">
      <w:pPr>
        <w:spacing w:line="360" w:lineRule="auto"/>
        <w:jc w:val="left"/>
        <w:textAlignment w:val="center"/>
        <w:rPr>
          <w:color w:val="000000"/>
        </w:rPr>
      </w:pPr>
      <w:r>
        <w:rPr>
          <w:color w:val="000000"/>
        </w:rPr>
        <w:t xml:space="preserve">A. </w:t>
      </w:r>
      <w:r>
        <w:rPr>
          <w:rFonts w:ascii="宋体" w:hAnsi="宋体" w:eastAsia="宋体" w:cs="宋体"/>
          <w:color w:val="000000"/>
        </w:rPr>
        <w:t>爬山虎和葡萄之间存在生殖隔离</w:t>
      </w:r>
    </w:p>
    <w:p w14:paraId="456DE82E">
      <w:pPr>
        <w:spacing w:line="360" w:lineRule="auto"/>
        <w:jc w:val="left"/>
        <w:textAlignment w:val="center"/>
        <w:rPr>
          <w:color w:val="000000"/>
        </w:rPr>
      </w:pPr>
      <w:r>
        <w:rPr>
          <w:color w:val="000000"/>
        </w:rPr>
        <w:t xml:space="preserve">B. </w:t>
      </w:r>
      <w:r>
        <w:rPr>
          <w:rFonts w:ascii="宋体" w:hAnsi="宋体" w:eastAsia="宋体" w:cs="宋体"/>
          <w:color w:val="000000"/>
        </w:rPr>
        <w:t>爬山虎花粉引起葡萄果实发生了基因突变</w:t>
      </w:r>
    </w:p>
    <w:p w14:paraId="3B64ECF8">
      <w:pPr>
        <w:spacing w:line="360" w:lineRule="auto"/>
        <w:jc w:val="left"/>
        <w:textAlignment w:val="center"/>
        <w:rPr>
          <w:color w:val="000000"/>
        </w:rPr>
      </w:pPr>
      <w:r>
        <w:rPr>
          <w:color w:val="000000"/>
        </w:rPr>
        <w:t xml:space="preserve">C. </w:t>
      </w:r>
      <w:r>
        <w:rPr>
          <w:rFonts w:ascii="宋体" w:hAnsi="宋体" w:eastAsia="宋体" w:cs="宋体"/>
          <w:color w:val="000000"/>
        </w:rPr>
        <w:t>无子葡萄经无性繁殖产生的植株仍结无子果实</w:t>
      </w:r>
    </w:p>
    <w:p w14:paraId="0E769B72">
      <w:pPr>
        <w:spacing w:line="360" w:lineRule="auto"/>
        <w:jc w:val="left"/>
        <w:textAlignment w:val="center"/>
        <w:rPr>
          <w:color w:val="000000"/>
        </w:rPr>
      </w:pPr>
      <w:r>
        <w:rPr>
          <w:color w:val="000000"/>
        </w:rPr>
        <w:t xml:space="preserve">D. </w:t>
      </w:r>
      <w:r>
        <w:rPr>
          <w:rFonts w:ascii="宋体" w:hAnsi="宋体" w:eastAsia="宋体" w:cs="宋体"/>
          <w:color w:val="000000"/>
        </w:rPr>
        <w:t>无子葡萄的果肉细胞含一个染色体组</w:t>
      </w:r>
    </w:p>
    <w:p w14:paraId="7E1B40CE">
      <w:pPr>
        <w:spacing w:line="360" w:lineRule="auto"/>
        <w:jc w:val="left"/>
        <w:textAlignment w:val="center"/>
        <w:rPr>
          <w:color w:val="000000"/>
        </w:rPr>
      </w:pPr>
      <w:r>
        <w:rPr>
          <w:color w:val="000000"/>
        </w:rPr>
        <w:t xml:space="preserve">3. </w:t>
      </w:r>
      <w:r>
        <w:rPr>
          <w:rFonts w:ascii="宋体" w:hAnsi="宋体" w:eastAsia="宋体" w:cs="宋体"/>
          <w:color w:val="000000"/>
        </w:rPr>
        <w:t>下面是兴奋在神经元之间传递过程的示意图，图中①～④错误的是（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3BE2724">
      <w:pPr>
        <w:spacing w:line="360" w:lineRule="auto"/>
        <w:jc w:val="left"/>
        <w:textAlignment w:val="center"/>
        <w:rPr>
          <w:color w:val="000000"/>
        </w:rPr>
      </w:pPr>
      <w:r>
        <w:rPr>
          <w:color w:val="000000"/>
        </w:rPr>
        <w:drawing>
          <wp:inline distT="0" distB="0" distL="114300" distR="114300">
            <wp:extent cx="5133975" cy="22860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133975" cy="2286000"/>
                    </a:xfrm>
                    <a:prstGeom prst="rect">
                      <a:avLst/>
                    </a:prstGeom>
                  </pic:spPr>
                </pic:pic>
              </a:graphicData>
            </a:graphic>
          </wp:inline>
        </w:drawing>
      </w:r>
      <w:r>
        <w:rPr>
          <w:color w:val="000000"/>
        </w:rPr>
        <w:t xml:space="preserve">  </w:t>
      </w:r>
    </w:p>
    <w:p w14:paraId="73A457E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4200B4D5">
      <w:pPr>
        <w:spacing w:line="360" w:lineRule="auto"/>
        <w:jc w:val="left"/>
        <w:textAlignment w:val="center"/>
        <w:rPr>
          <w:color w:val="000000"/>
        </w:rPr>
      </w:pPr>
      <w:r>
        <w:rPr>
          <w:color w:val="000000"/>
        </w:rPr>
        <w:t xml:space="preserve">4. </w:t>
      </w:r>
      <w:r>
        <w:rPr>
          <w:rFonts w:ascii="宋体" w:hAnsi="宋体" w:eastAsia="宋体" w:cs="宋体"/>
          <w:color w:val="000000"/>
        </w:rPr>
        <w:t>血脑屏障的生物膜体系在控制物质运输方式上与细胞膜类似。下表中相关物质不可能存在的运输方式是（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3180"/>
        <w:gridCol w:w="1290"/>
      </w:tblGrid>
      <w:tr w14:paraId="0CA86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56016E">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5131A2">
            <w:pPr>
              <w:spacing w:line="360" w:lineRule="auto"/>
              <w:jc w:val="left"/>
              <w:textAlignment w:val="center"/>
              <w:rPr>
                <w:color w:val="000000"/>
              </w:rPr>
            </w:pPr>
            <w:r>
              <w:rPr>
                <w:rFonts w:ascii="宋体" w:hAnsi="宋体" w:eastAsia="宋体" w:cs="宋体"/>
                <w:color w:val="000000"/>
              </w:rPr>
              <w:t>通过血脑屏障生物膜体系的物质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786416">
            <w:pPr>
              <w:spacing w:line="360" w:lineRule="auto"/>
              <w:jc w:val="left"/>
              <w:textAlignment w:val="center"/>
              <w:rPr>
                <w:color w:val="000000"/>
              </w:rPr>
            </w:pPr>
            <w:r>
              <w:rPr>
                <w:rFonts w:ascii="宋体" w:hAnsi="宋体" w:eastAsia="宋体" w:cs="宋体"/>
                <w:color w:val="000000"/>
              </w:rPr>
              <w:t>运输方式</w:t>
            </w:r>
          </w:p>
        </w:tc>
      </w:tr>
      <w:tr w14:paraId="606D3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6DC775">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9EDE49">
            <w:pPr>
              <w:spacing w:line="360" w:lineRule="auto"/>
              <w:jc w:val="left"/>
              <w:textAlignment w:val="center"/>
              <w:rPr>
                <w:color w:val="000000"/>
              </w:rPr>
            </w:pPr>
            <w:r>
              <w:rPr>
                <w:rFonts w:ascii="宋体" w:hAnsi="宋体" w:eastAsia="宋体" w:cs="宋体"/>
                <w:color w:val="000000"/>
              </w:rPr>
              <w:t>神经生长因子蛋白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CFDEF0">
            <w:pPr>
              <w:spacing w:line="360" w:lineRule="auto"/>
              <w:jc w:val="left"/>
              <w:textAlignment w:val="center"/>
              <w:rPr>
                <w:color w:val="000000"/>
              </w:rPr>
            </w:pPr>
            <w:r>
              <w:rPr>
                <w:rFonts w:ascii="宋体" w:hAnsi="宋体" w:eastAsia="宋体" w:cs="宋体"/>
                <w:color w:val="000000"/>
              </w:rPr>
              <w:t>胞吞、胞吐</w:t>
            </w:r>
          </w:p>
        </w:tc>
      </w:tr>
      <w:tr w14:paraId="7FDD2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B9E64A">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B70C10">
            <w:pPr>
              <w:spacing w:line="360" w:lineRule="auto"/>
              <w:jc w:val="left"/>
              <w:textAlignment w:val="center"/>
              <w:rPr>
                <w:color w:val="000000"/>
              </w:rPr>
            </w:pPr>
            <w:r>
              <w:rPr>
                <w:rFonts w:ascii="宋体" w:hAnsi="宋体" w:eastAsia="宋体" w:cs="宋体"/>
                <w:color w:val="000000"/>
              </w:rPr>
              <w:t>葡萄糖</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EC1FA8">
            <w:pPr>
              <w:spacing w:line="360" w:lineRule="auto"/>
              <w:jc w:val="left"/>
              <w:textAlignment w:val="center"/>
              <w:rPr>
                <w:color w:val="000000"/>
              </w:rPr>
            </w:pPr>
            <w:r>
              <w:rPr>
                <w:rFonts w:ascii="宋体" w:hAnsi="宋体" w:eastAsia="宋体" w:cs="宋体"/>
                <w:color w:val="000000"/>
              </w:rPr>
              <w:t>协助扩散</w:t>
            </w:r>
          </w:p>
        </w:tc>
      </w:tr>
      <w:tr w14:paraId="59FDF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33C30C">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92C8CE">
            <w:pPr>
              <w:spacing w:line="360" w:lineRule="auto"/>
              <w:jc w:val="left"/>
              <w:textAlignment w:val="center"/>
              <w:rPr>
                <w:color w:val="000000"/>
              </w:rPr>
            </w:pPr>
            <w:r>
              <w:rPr>
                <w:rFonts w:ascii="宋体" w:hAnsi="宋体" w:eastAsia="宋体" w:cs="宋体"/>
                <w:color w:val="000000"/>
              </w:rPr>
              <w:t>谷氨酸</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37C71C">
            <w:pPr>
              <w:spacing w:line="360" w:lineRule="auto"/>
              <w:jc w:val="left"/>
              <w:textAlignment w:val="center"/>
              <w:rPr>
                <w:color w:val="000000"/>
              </w:rPr>
            </w:pPr>
            <w:r>
              <w:rPr>
                <w:rFonts w:ascii="宋体" w:hAnsi="宋体" w:eastAsia="宋体" w:cs="宋体"/>
                <w:color w:val="000000"/>
              </w:rPr>
              <w:t>自由扩散</w:t>
            </w:r>
          </w:p>
        </w:tc>
      </w:tr>
      <w:tr w14:paraId="784A25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092D4D">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06C8B6">
            <w:pPr>
              <w:spacing w:line="360" w:lineRule="auto"/>
              <w:jc w:val="left"/>
              <w:textAlignment w:val="center"/>
              <w:rPr>
                <w:color w:val="000000"/>
              </w:rPr>
            </w:pPr>
            <w:r>
              <w:rPr>
                <w:rFonts w:ascii="宋体" w:hAnsi="宋体" w:eastAsia="宋体" w:cs="宋体"/>
                <w:color w:val="000000"/>
              </w:rPr>
              <w:t>钙离子</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E3C922">
            <w:pPr>
              <w:spacing w:line="360" w:lineRule="auto"/>
              <w:jc w:val="left"/>
              <w:textAlignment w:val="center"/>
              <w:rPr>
                <w:color w:val="000000"/>
              </w:rPr>
            </w:pPr>
            <w:r>
              <w:rPr>
                <w:rFonts w:ascii="宋体" w:hAnsi="宋体" w:eastAsia="宋体" w:cs="宋体"/>
                <w:color w:val="000000"/>
              </w:rPr>
              <w:t>主动运输</w:t>
            </w:r>
          </w:p>
        </w:tc>
      </w:tr>
    </w:tbl>
    <w:p w14:paraId="5FB652FB">
      <w:pPr>
        <w:spacing w:line="360" w:lineRule="auto"/>
        <w:jc w:val="left"/>
        <w:textAlignment w:val="center"/>
        <w:rPr>
          <w:color w:val="000000"/>
        </w:rPr>
      </w:pPr>
    </w:p>
    <w:p w14:paraId="5D9927B7">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35E9D9D2">
      <w:pPr>
        <w:spacing w:line="360" w:lineRule="auto"/>
        <w:jc w:val="left"/>
        <w:textAlignment w:val="center"/>
        <w:rPr>
          <w:color w:val="000000"/>
        </w:rPr>
      </w:pPr>
      <w:r>
        <w:rPr>
          <w:color w:val="000000"/>
        </w:rPr>
        <w:t xml:space="preserve">5. </w:t>
      </w:r>
      <w:r>
        <w:rPr>
          <w:rFonts w:ascii="宋体" w:hAnsi="宋体" w:eastAsia="宋体" w:cs="宋体"/>
          <w:color w:val="000000"/>
        </w:rPr>
        <w:t>人工防护林具有防风、固沙及保护农田等作用，对维护区域生态系统稳定具有重要意义。下列叙述正确的是（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2A8DAA1">
      <w:pPr>
        <w:spacing w:line="360" w:lineRule="auto"/>
        <w:jc w:val="left"/>
        <w:textAlignment w:val="center"/>
        <w:rPr>
          <w:color w:val="000000"/>
        </w:rPr>
      </w:pPr>
      <w:r>
        <w:rPr>
          <w:color w:val="000000"/>
        </w:rPr>
        <w:t xml:space="preserve">A. </w:t>
      </w:r>
      <w:r>
        <w:rPr>
          <w:rFonts w:ascii="宋体" w:hAnsi="宋体" w:eastAsia="宋体" w:cs="宋体"/>
          <w:color w:val="000000"/>
        </w:rPr>
        <w:t>防护林通过自组织、自我调节可实现自身结构与功能的协调</w:t>
      </w:r>
    </w:p>
    <w:p w14:paraId="72DB9AD3">
      <w:pPr>
        <w:spacing w:line="360" w:lineRule="auto"/>
        <w:jc w:val="left"/>
        <w:textAlignment w:val="center"/>
        <w:rPr>
          <w:color w:val="000000"/>
        </w:rPr>
      </w:pPr>
      <w:r>
        <w:rPr>
          <w:color w:val="000000"/>
        </w:rPr>
        <w:t xml:space="preserve">B. </w:t>
      </w:r>
      <w:r>
        <w:rPr>
          <w:rFonts w:ascii="宋体" w:hAnsi="宋体" w:eastAsia="宋体" w:cs="宋体"/>
          <w:color w:val="000000"/>
        </w:rPr>
        <w:t>防护林建设应选择本地种，遵循了生态工程的循环原理</w:t>
      </w:r>
    </w:p>
    <w:p w14:paraId="5D4E69AC">
      <w:pPr>
        <w:spacing w:line="360" w:lineRule="auto"/>
        <w:jc w:val="left"/>
        <w:textAlignment w:val="center"/>
        <w:rPr>
          <w:color w:val="000000"/>
        </w:rPr>
      </w:pPr>
      <w:r>
        <w:rPr>
          <w:color w:val="000000"/>
        </w:rPr>
        <w:t xml:space="preserve">C. </w:t>
      </w:r>
      <w:r>
        <w:rPr>
          <w:rFonts w:ascii="宋体" w:hAnsi="宋体" w:eastAsia="宋体" w:cs="宋体"/>
          <w:color w:val="000000"/>
        </w:rPr>
        <w:t>防护林建成后，若失去人类的维护将会发生初生演替</w:t>
      </w:r>
    </w:p>
    <w:p w14:paraId="10E5F718">
      <w:pPr>
        <w:spacing w:line="360" w:lineRule="auto"/>
        <w:jc w:val="left"/>
        <w:textAlignment w:val="center"/>
        <w:rPr>
          <w:color w:val="000000"/>
        </w:rPr>
      </w:pPr>
      <w:r>
        <w:rPr>
          <w:color w:val="000000"/>
        </w:rPr>
        <w:t xml:space="preserve">D. </w:t>
      </w:r>
      <w:r>
        <w:rPr>
          <w:rFonts w:ascii="宋体" w:hAnsi="宋体" w:eastAsia="宋体" w:cs="宋体"/>
          <w:color w:val="000000"/>
        </w:rPr>
        <w:t>防护林的防风、固沙及保护农田的作用体现了生物多样性的直接价值</w:t>
      </w:r>
    </w:p>
    <w:p w14:paraId="2903A8C2">
      <w:pPr>
        <w:spacing w:line="360" w:lineRule="auto"/>
        <w:jc w:val="left"/>
        <w:textAlignment w:val="center"/>
        <w:rPr>
          <w:color w:val="000000"/>
        </w:rPr>
      </w:pPr>
      <w:r>
        <w:rPr>
          <w:color w:val="000000"/>
        </w:rPr>
        <w:t xml:space="preserve">6. </w:t>
      </w:r>
      <w:r>
        <w:rPr>
          <w:rFonts w:ascii="宋体" w:hAnsi="宋体" w:eastAsia="宋体" w:cs="宋体"/>
          <w:color w:val="000000"/>
        </w:rPr>
        <w:t>某些微生物与昆虫构建了互利共生的关系，共生微生物参与昆虫的生命活动并促进其生态功能的发挥。下列叙述错误的是（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57E8F96">
      <w:pPr>
        <w:spacing w:line="360" w:lineRule="auto"/>
        <w:jc w:val="left"/>
        <w:textAlignment w:val="center"/>
        <w:rPr>
          <w:color w:val="000000"/>
        </w:rPr>
      </w:pPr>
      <w:r>
        <w:rPr>
          <w:color w:val="000000"/>
        </w:rPr>
        <w:t xml:space="preserve">A. </w:t>
      </w:r>
      <w:r>
        <w:rPr>
          <w:rFonts w:ascii="宋体" w:hAnsi="宋体" w:eastAsia="宋体" w:cs="宋体"/>
          <w:color w:val="000000"/>
        </w:rPr>
        <w:t>昆虫为共生微生物提供了相对稳定的生存环境</w:t>
      </w:r>
    </w:p>
    <w:p w14:paraId="03CCE996">
      <w:pPr>
        <w:spacing w:line="360" w:lineRule="auto"/>
        <w:jc w:val="left"/>
        <w:textAlignment w:val="center"/>
        <w:rPr>
          <w:color w:val="000000"/>
        </w:rPr>
      </w:pPr>
      <w:r>
        <w:rPr>
          <w:color w:val="000000"/>
        </w:rPr>
        <w:t xml:space="preserve">B. </w:t>
      </w:r>
      <w:r>
        <w:rPr>
          <w:rFonts w:ascii="宋体" w:hAnsi="宋体" w:eastAsia="宋体" w:cs="宋体"/>
          <w:color w:val="000000"/>
        </w:rPr>
        <w:t>与昆虫共生的微生物降低了昆虫的免疫力</w:t>
      </w:r>
    </w:p>
    <w:p w14:paraId="794ADFA4">
      <w:pPr>
        <w:spacing w:line="360" w:lineRule="auto"/>
        <w:jc w:val="left"/>
        <w:textAlignment w:val="center"/>
        <w:rPr>
          <w:color w:val="000000"/>
        </w:rPr>
      </w:pPr>
      <w:r>
        <w:rPr>
          <w:color w:val="000000"/>
        </w:rPr>
        <w:t xml:space="preserve">C. </w:t>
      </w:r>
      <w:r>
        <w:rPr>
          <w:rFonts w:ascii="宋体" w:hAnsi="宋体" w:eastAsia="宋体" w:cs="宋体"/>
          <w:color w:val="000000"/>
        </w:rPr>
        <w:t>不同生境中同种昆虫的共生微生物可能不同</w:t>
      </w:r>
    </w:p>
    <w:p w14:paraId="5476141B">
      <w:pPr>
        <w:spacing w:line="360" w:lineRule="auto"/>
        <w:jc w:val="left"/>
        <w:textAlignment w:val="center"/>
        <w:rPr>
          <w:color w:val="000000"/>
        </w:rPr>
      </w:pPr>
      <w:r>
        <w:rPr>
          <w:color w:val="000000"/>
        </w:rPr>
        <w:t xml:space="preserve">D. </w:t>
      </w:r>
      <w:r>
        <w:rPr>
          <w:rFonts w:ascii="宋体" w:hAnsi="宋体" w:eastAsia="宋体" w:cs="宋体"/>
          <w:color w:val="000000"/>
        </w:rPr>
        <w:t>昆虫与微生物共生的关系是长期协同进化的结果</w:t>
      </w:r>
    </w:p>
    <w:p w14:paraId="33B256D6">
      <w:pPr>
        <w:spacing w:line="360" w:lineRule="auto"/>
        <w:jc w:val="left"/>
        <w:textAlignment w:val="center"/>
        <w:rPr>
          <w:color w:val="000000"/>
        </w:rPr>
      </w:pPr>
      <w:r>
        <w:rPr>
          <w:color w:val="000000"/>
        </w:rPr>
        <w:t xml:space="preserve">7. </w:t>
      </w:r>
      <w:r>
        <w:rPr>
          <w:rFonts w:ascii="宋体" w:hAnsi="宋体" w:eastAsia="宋体" w:cs="宋体"/>
          <w:color w:val="000000"/>
        </w:rPr>
        <w:t>大量悬浮培养产流感病毒的单克隆细胞，可用于流感疫苗的生产。下列叙述错误的是（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EC05316">
      <w:pPr>
        <w:spacing w:line="360" w:lineRule="auto"/>
        <w:jc w:val="left"/>
        <w:textAlignment w:val="center"/>
        <w:rPr>
          <w:color w:val="000000"/>
        </w:rPr>
      </w:pPr>
      <w:r>
        <w:rPr>
          <w:color w:val="000000"/>
        </w:rPr>
        <w:t xml:space="preserve">A. </w:t>
      </w:r>
      <w:r>
        <w:rPr>
          <w:rFonts w:ascii="宋体" w:hAnsi="宋体" w:eastAsia="宋体" w:cs="宋体"/>
          <w:color w:val="000000"/>
        </w:rPr>
        <w:t>悬浮培养单克隆细胞可有效避免接触抑制</w:t>
      </w:r>
    </w:p>
    <w:p w14:paraId="487F4EB3">
      <w:pPr>
        <w:spacing w:line="360" w:lineRule="auto"/>
        <w:jc w:val="left"/>
        <w:textAlignment w:val="center"/>
        <w:rPr>
          <w:color w:val="000000"/>
        </w:rPr>
      </w:pPr>
      <w:r>
        <w:rPr>
          <w:color w:val="000000"/>
        </w:rPr>
        <w:t xml:space="preserve">B. </w:t>
      </w:r>
      <w:r>
        <w:rPr>
          <w:rFonts w:ascii="宋体" w:hAnsi="宋体" w:eastAsia="宋体" w:cs="宋体"/>
          <w:color w:val="000000"/>
        </w:rPr>
        <w:t>用于培养单克隆细胞的培养基通常需加血清</w:t>
      </w:r>
    </w:p>
    <w:p w14:paraId="4FE3463E">
      <w:pPr>
        <w:spacing w:line="360" w:lineRule="auto"/>
        <w:jc w:val="left"/>
        <w:textAlignment w:val="center"/>
        <w:rPr>
          <w:color w:val="000000"/>
        </w:rPr>
      </w:pPr>
      <w:r>
        <w:rPr>
          <w:color w:val="000000"/>
        </w:rPr>
        <w:t xml:space="preserve">C. </w:t>
      </w:r>
      <w:r>
        <w:rPr>
          <w:rFonts w:ascii="宋体" w:hAnsi="宋体" w:eastAsia="宋体" w:cs="宋体"/>
          <w:color w:val="000000"/>
        </w:rPr>
        <w:t>当病毒达到一定数量时会影响细胞的增殖</w:t>
      </w:r>
    </w:p>
    <w:p w14:paraId="679C6A65">
      <w:pPr>
        <w:spacing w:line="360" w:lineRule="auto"/>
        <w:jc w:val="left"/>
        <w:textAlignment w:val="center"/>
        <w:rPr>
          <w:color w:val="000000"/>
        </w:rPr>
      </w:pPr>
      <w:r>
        <w:rPr>
          <w:color w:val="000000"/>
        </w:rPr>
        <w:t xml:space="preserve">D. </w:t>
      </w:r>
      <w:r>
        <w:rPr>
          <w:rFonts w:ascii="宋体" w:hAnsi="宋体" w:eastAsia="宋体" w:cs="宋体"/>
          <w:color w:val="000000"/>
        </w:rPr>
        <w:t>培养基</w:t>
      </w:r>
      <w:r>
        <w:rPr>
          <w:rFonts w:ascii="Times New Roman" w:hAnsi="Times New Roman" w:eastAsia="Times New Roman" w:cs="Times New Roman"/>
          <w:color w:val="000000"/>
        </w:rPr>
        <w:t>pH</w:t>
      </w:r>
      <w:r>
        <w:rPr>
          <w:rFonts w:ascii="宋体" w:hAnsi="宋体" w:eastAsia="宋体" w:cs="宋体"/>
          <w:color w:val="000000"/>
        </w:rPr>
        <w:t>不会影响单克隆细胞的病毒产量</w:t>
      </w:r>
    </w:p>
    <w:p w14:paraId="6906B534">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CD163</w:t>
      </w:r>
      <w:r>
        <w:rPr>
          <w:rFonts w:ascii="宋体" w:hAnsi="宋体" w:eastAsia="宋体" w:cs="宋体"/>
          <w:color w:val="000000"/>
        </w:rPr>
        <w:t>蛋白是</w:t>
      </w:r>
      <w:r>
        <w:rPr>
          <w:rFonts w:ascii="Times New Roman" w:hAnsi="Times New Roman" w:eastAsia="Times New Roman" w:cs="Times New Roman"/>
          <w:color w:val="000000"/>
        </w:rPr>
        <w:t>PRRSV</w:t>
      </w:r>
      <w:r>
        <w:rPr>
          <w:rFonts w:ascii="宋体" w:hAnsi="宋体" w:eastAsia="宋体" w:cs="宋体"/>
          <w:color w:val="000000"/>
        </w:rPr>
        <w:t>病毒感染家畜</w:t>
      </w:r>
      <w:r>
        <w:rPr>
          <w:rFonts w:ascii="宋体" w:hAnsi="宋体" w:eastAsia="宋体" w:cs="宋体"/>
          <w:color w:val="000000"/>
          <w:position w:val="0"/>
        </w:rPr>
        <w:drawing>
          <wp:inline distT="0" distB="0" distL="114300" distR="114300">
            <wp:extent cx="133350" cy="177800"/>
            <wp:effectExtent l="0" t="0" r="0" b="13335"/>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受体。为实时监控</w:t>
      </w:r>
      <w:r>
        <w:rPr>
          <w:rFonts w:ascii="Times New Roman" w:hAnsi="Times New Roman" w:eastAsia="Times New Roman" w:cs="Times New Roman"/>
          <w:color w:val="000000"/>
        </w:rPr>
        <w:t>CD163</w:t>
      </w:r>
      <w:r>
        <w:rPr>
          <w:rFonts w:ascii="宋体" w:hAnsi="宋体" w:eastAsia="宋体" w:cs="宋体"/>
          <w:color w:val="000000"/>
        </w:rPr>
        <w:t>蛋白的表达和转运过程，将红色荧光蛋白</w:t>
      </w:r>
      <w:r>
        <w:rPr>
          <w:rFonts w:ascii="Times New Roman" w:hAnsi="Times New Roman" w:eastAsia="Times New Roman" w:cs="Times New Roman"/>
          <w:color w:val="000000"/>
        </w:rPr>
        <w:t>RFP</w:t>
      </w:r>
      <w:r>
        <w:rPr>
          <w:rFonts w:ascii="宋体" w:hAnsi="宋体" w:eastAsia="宋体" w:cs="宋体"/>
          <w:color w:val="000000"/>
        </w:rPr>
        <w:t>基因与</w:t>
      </w:r>
      <w:r>
        <w:rPr>
          <w:rFonts w:ascii="Times New Roman" w:hAnsi="Times New Roman" w:eastAsia="Times New Roman" w:cs="Times New Roman"/>
          <w:color w:val="000000"/>
        </w:rPr>
        <w:t>CD163</w:t>
      </w:r>
      <w:r>
        <w:rPr>
          <w:rFonts w:ascii="宋体" w:hAnsi="宋体" w:eastAsia="宋体" w:cs="宋体"/>
          <w:color w:val="000000"/>
        </w:rPr>
        <w:t>基因拼接在一起（如下图），使其表达成一条多肽。该拼接过程的关键步骤是除去（</w:t>
      </w:r>
      <w:r>
        <w:rPr>
          <w:rFonts w:ascii="Times New Roman" w:hAnsi="Times New Roman" w:eastAsia="Times New Roman" w:cs="Times New Roman"/>
          <w:color w:val="000000"/>
        </w:rPr>
        <w:t xml:space="preserve">    </w:t>
      </w:r>
      <w:r>
        <w:rPr>
          <w:rFonts w:ascii="宋体" w:hAnsi="宋体" w:eastAsia="宋体" w:cs="宋体"/>
          <w:color w:val="000000"/>
        </w:rPr>
        <w:t>）</w:t>
      </w:r>
    </w:p>
    <w:p w14:paraId="31B1AA23">
      <w:pPr>
        <w:spacing w:line="360" w:lineRule="auto"/>
        <w:jc w:val="left"/>
        <w:textAlignment w:val="center"/>
        <w:rPr>
          <w:color w:val="000000"/>
        </w:rPr>
      </w:pPr>
      <w:r>
        <w:rPr>
          <w:color w:val="000000"/>
        </w:rPr>
        <w:drawing>
          <wp:inline distT="0" distB="0" distL="114300" distR="114300">
            <wp:extent cx="4143375" cy="6191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143375" cy="619125"/>
                    </a:xfrm>
                    <a:prstGeom prst="rect">
                      <a:avLst/>
                    </a:prstGeom>
                  </pic:spPr>
                </pic:pic>
              </a:graphicData>
            </a:graphic>
          </wp:inline>
        </w:drawing>
      </w:r>
      <w:r>
        <w:rPr>
          <w:color w:val="000000"/>
        </w:rPr>
        <w:t xml:space="preserve">  </w:t>
      </w:r>
    </w:p>
    <w:p w14:paraId="577C14F2">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CD163</w:t>
      </w:r>
      <w:r>
        <w:rPr>
          <w:rFonts w:ascii="宋体" w:hAnsi="宋体" w:eastAsia="宋体" w:cs="宋体"/>
          <w:color w:val="000000"/>
        </w:rPr>
        <w:t>基因中编码起始密码子的序列</w:t>
      </w:r>
    </w:p>
    <w:p w14:paraId="01F0F89A">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CD163</w:t>
      </w:r>
      <w:r>
        <w:rPr>
          <w:rFonts w:ascii="宋体" w:hAnsi="宋体" w:eastAsia="宋体" w:cs="宋体"/>
          <w:color w:val="000000"/>
        </w:rPr>
        <w:t>基因中编码终止密码子的序列</w:t>
      </w:r>
    </w:p>
    <w:p w14:paraId="3A2A9B20">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RFP</w:t>
      </w:r>
      <w:r>
        <w:rPr>
          <w:rFonts w:ascii="宋体" w:hAnsi="宋体" w:eastAsia="宋体" w:cs="宋体"/>
          <w:color w:val="000000"/>
        </w:rPr>
        <w:t>基因中编码起始密码子的序列</w:t>
      </w:r>
    </w:p>
    <w:p w14:paraId="0F6D15A3">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RFP</w:t>
      </w:r>
      <w:r>
        <w:rPr>
          <w:rFonts w:ascii="宋体" w:hAnsi="宋体" w:eastAsia="宋体" w:cs="宋体"/>
          <w:color w:val="000000"/>
        </w:rPr>
        <w:t>基因中编码终止密码子</w:t>
      </w:r>
      <w:r>
        <w:rPr>
          <w:rFonts w:ascii="宋体" w:hAnsi="宋体" w:eastAsia="宋体" w:cs="宋体"/>
          <w:color w:val="000000"/>
          <w:position w:val="0"/>
        </w:rPr>
        <w:drawing>
          <wp:inline distT="0" distB="0" distL="114300" distR="114300">
            <wp:extent cx="133350" cy="177800"/>
            <wp:effectExtent l="0" t="0" r="0" b="13335"/>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序列</w:t>
      </w:r>
    </w:p>
    <w:p w14:paraId="0C1430FD">
      <w:pPr>
        <w:spacing w:line="360" w:lineRule="auto"/>
        <w:jc w:val="left"/>
        <w:textAlignment w:val="center"/>
        <w:rPr>
          <w:color w:val="000000"/>
        </w:rPr>
      </w:pPr>
      <w:r>
        <w:rPr>
          <w:color w:val="000000"/>
        </w:rPr>
        <w:t xml:space="preserve">9. </w:t>
      </w:r>
      <w:r>
        <w:rPr>
          <w:rFonts w:ascii="宋体" w:hAnsi="宋体" w:eastAsia="宋体" w:cs="宋体"/>
          <w:color w:val="000000"/>
        </w:rPr>
        <w:t>细菌气溶胶是由悬浮于大气或附着于颗粒物表面的细菌形成的。利用空气微生物采样器对某市人员密集型公共场所采样并检测细菌气溶胶的浓度（菌落数</w:t>
      </w:r>
      <w:r>
        <w:rPr>
          <w:rFonts w:ascii="Times New Roman" w:hAnsi="Times New Roman" w:eastAsia="Times New Roman" w:cs="Times New Roman"/>
          <w:color w:val="000000"/>
        </w:rPr>
        <w:t>/m³</w:t>
      </w:r>
      <w:r>
        <w:rPr>
          <w:rFonts w:ascii="宋体" w:hAnsi="宋体" w:eastAsia="宋体" w:cs="宋体"/>
          <w:color w:val="000000"/>
        </w:rPr>
        <w:t>）。下列叙述错误的是（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DC100E8">
      <w:pPr>
        <w:spacing w:line="360" w:lineRule="auto"/>
        <w:jc w:val="left"/>
        <w:textAlignment w:val="center"/>
        <w:rPr>
          <w:color w:val="000000"/>
        </w:rPr>
      </w:pPr>
      <w:r>
        <w:rPr>
          <w:color w:val="000000"/>
        </w:rPr>
        <w:t xml:space="preserve">A. </w:t>
      </w:r>
      <w:r>
        <w:rPr>
          <w:rFonts w:ascii="宋体" w:hAnsi="宋体" w:eastAsia="宋体" w:cs="宋体"/>
          <w:color w:val="000000"/>
        </w:rPr>
        <w:t>采样前需对空气微生物采样器进行无菌处理</w:t>
      </w:r>
    </w:p>
    <w:p w14:paraId="40C724B4">
      <w:pPr>
        <w:spacing w:line="360" w:lineRule="auto"/>
        <w:jc w:val="left"/>
        <w:textAlignment w:val="center"/>
        <w:rPr>
          <w:color w:val="000000"/>
        </w:rPr>
      </w:pPr>
      <w:r>
        <w:rPr>
          <w:color w:val="000000"/>
        </w:rPr>
        <w:t xml:space="preserve">B. </w:t>
      </w:r>
      <w:r>
        <w:rPr>
          <w:rFonts w:ascii="宋体" w:hAnsi="宋体" w:eastAsia="宋体" w:cs="宋体"/>
          <w:color w:val="000000"/>
        </w:rPr>
        <w:t>细菌气溶胶样品恒温培养时需将平板倒置</w:t>
      </w:r>
    </w:p>
    <w:p w14:paraId="6D67C554">
      <w:pPr>
        <w:spacing w:line="360" w:lineRule="auto"/>
        <w:jc w:val="left"/>
        <w:textAlignment w:val="center"/>
        <w:rPr>
          <w:color w:val="000000"/>
        </w:rPr>
      </w:pPr>
      <w:r>
        <w:rPr>
          <w:color w:val="000000"/>
        </w:rPr>
        <w:t xml:space="preserve">C. </w:t>
      </w:r>
      <w:r>
        <w:rPr>
          <w:rFonts w:ascii="宋体" w:hAnsi="宋体" w:eastAsia="宋体" w:cs="宋体"/>
          <w:color w:val="000000"/>
        </w:rPr>
        <w:t>同一稀释度下至少对</w:t>
      </w:r>
      <w:r>
        <w:rPr>
          <w:rFonts w:ascii="Times New Roman" w:hAnsi="Times New Roman" w:eastAsia="Times New Roman" w:cs="Times New Roman"/>
          <w:color w:val="000000"/>
        </w:rPr>
        <w:t>3</w:t>
      </w:r>
      <w:r>
        <w:rPr>
          <w:rFonts w:ascii="宋体" w:hAnsi="宋体" w:eastAsia="宋体" w:cs="宋体"/>
          <w:color w:val="000000"/>
        </w:rPr>
        <w:t>个平板计数并取平均值</w:t>
      </w:r>
    </w:p>
    <w:p w14:paraId="11E2AD45">
      <w:pPr>
        <w:spacing w:line="360" w:lineRule="auto"/>
        <w:jc w:val="left"/>
        <w:textAlignment w:val="center"/>
        <w:rPr>
          <w:color w:val="000000"/>
        </w:rPr>
      </w:pPr>
      <w:r>
        <w:rPr>
          <w:color w:val="000000"/>
        </w:rPr>
        <w:t xml:space="preserve">D. </w:t>
      </w:r>
      <w:r>
        <w:rPr>
          <w:rFonts w:ascii="宋体" w:hAnsi="宋体" w:eastAsia="宋体" w:cs="宋体"/>
          <w:color w:val="000000"/>
        </w:rPr>
        <w:t>稀释涂布平板法检测的细菌气溶胶浓度比实际值高</w:t>
      </w:r>
    </w:p>
    <w:p w14:paraId="666056B2">
      <w:pPr>
        <w:spacing w:line="360" w:lineRule="auto"/>
        <w:jc w:val="left"/>
        <w:textAlignment w:val="center"/>
        <w:rPr>
          <w:color w:val="000000"/>
        </w:rPr>
      </w:pPr>
      <w:r>
        <w:rPr>
          <w:color w:val="000000"/>
        </w:rPr>
        <w:t xml:space="preserve">10. </w:t>
      </w:r>
      <w:r>
        <w:rPr>
          <w:rFonts w:ascii="宋体" w:hAnsi="宋体" w:eastAsia="宋体" w:cs="宋体"/>
          <w:color w:val="000000"/>
        </w:rPr>
        <w:t>在布氏田鼠种群数量爆发年份，种内竞争加剧，导致出生率下降、个体免疫力减弱，翌年种群数量大幅度减少；在种群数量低的年份，情况完全相反。下列叙述错误的是（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32D9FF0">
      <w:pPr>
        <w:spacing w:line="360" w:lineRule="auto"/>
        <w:jc w:val="left"/>
        <w:textAlignment w:val="center"/>
        <w:rPr>
          <w:color w:val="000000"/>
        </w:rPr>
      </w:pPr>
      <w:r>
        <w:rPr>
          <w:color w:val="000000"/>
        </w:rPr>
        <w:t xml:space="preserve">A. </w:t>
      </w:r>
      <w:r>
        <w:rPr>
          <w:rFonts w:ascii="宋体" w:hAnsi="宋体" w:eastAsia="宋体" w:cs="宋体"/>
          <w:color w:val="000000"/>
        </w:rPr>
        <w:t>布氏田鼠种群数量达到</w:t>
      </w:r>
      <w:r>
        <w:rPr>
          <w:rFonts w:ascii="Times New Roman" w:hAnsi="Times New Roman" w:eastAsia="Times New Roman" w:cs="Times New Roman"/>
          <w:color w:val="000000"/>
        </w:rPr>
        <w:t>K/2</w:t>
      </w:r>
      <w:r>
        <w:rPr>
          <w:rFonts w:ascii="宋体" w:hAnsi="宋体" w:eastAsia="宋体" w:cs="宋体"/>
          <w:color w:val="000000"/>
        </w:rPr>
        <w:t>时，种内竞争强度最小</w:t>
      </w:r>
    </w:p>
    <w:p w14:paraId="281F3AF1">
      <w:pPr>
        <w:spacing w:line="360" w:lineRule="auto"/>
        <w:jc w:val="left"/>
        <w:textAlignment w:val="center"/>
        <w:rPr>
          <w:color w:val="000000"/>
        </w:rPr>
      </w:pPr>
      <w:r>
        <w:rPr>
          <w:color w:val="000000"/>
        </w:rPr>
        <w:t xml:space="preserve">B. </w:t>
      </w:r>
      <w:r>
        <w:rPr>
          <w:rFonts w:ascii="宋体" w:hAnsi="宋体" w:eastAsia="宋体" w:cs="宋体"/>
          <w:color w:val="000000"/>
        </w:rPr>
        <w:t>布氏田鼠种群数量低的年份，环境容纳量可能不变</w:t>
      </w:r>
    </w:p>
    <w:p w14:paraId="08A82FAE">
      <w:pPr>
        <w:spacing w:line="360" w:lineRule="auto"/>
        <w:jc w:val="left"/>
        <w:textAlignment w:val="center"/>
        <w:rPr>
          <w:color w:val="000000"/>
        </w:rPr>
      </w:pPr>
      <w:r>
        <w:rPr>
          <w:color w:val="000000"/>
        </w:rPr>
        <w:t xml:space="preserve">C. </w:t>
      </w:r>
      <w:r>
        <w:rPr>
          <w:rFonts w:ascii="宋体" w:hAnsi="宋体" w:eastAsia="宋体" w:cs="宋体"/>
          <w:color w:val="000000"/>
        </w:rPr>
        <w:t>布氏田鼠种群数量爆发年份，天敌捕食成功的概率提高</w:t>
      </w:r>
    </w:p>
    <w:p w14:paraId="116BC309">
      <w:pPr>
        <w:spacing w:line="360" w:lineRule="auto"/>
        <w:jc w:val="left"/>
        <w:textAlignment w:val="center"/>
        <w:rPr>
          <w:color w:val="000000"/>
        </w:rPr>
      </w:pPr>
      <w:r>
        <w:rPr>
          <w:color w:val="000000"/>
        </w:rPr>
        <w:t xml:space="preserve">D. </w:t>
      </w:r>
      <w:r>
        <w:rPr>
          <w:rFonts w:ascii="宋体" w:hAnsi="宋体" w:eastAsia="宋体" w:cs="宋体"/>
          <w:color w:val="000000"/>
        </w:rPr>
        <w:t>布氏田鼠种群密度对种群数量变化起负反馈调节作用</w:t>
      </w:r>
    </w:p>
    <w:p w14:paraId="264D2D90">
      <w:pPr>
        <w:spacing w:line="360" w:lineRule="auto"/>
        <w:jc w:val="left"/>
        <w:textAlignment w:val="center"/>
        <w:rPr>
          <w:color w:val="000000"/>
        </w:rPr>
      </w:pPr>
      <w:r>
        <w:rPr>
          <w:color w:val="000000"/>
        </w:rPr>
        <w:t xml:space="preserve">11. </w:t>
      </w:r>
      <w:r>
        <w:rPr>
          <w:rFonts w:ascii="宋体" w:hAnsi="宋体" w:eastAsia="宋体" w:cs="宋体"/>
          <w:color w:val="000000"/>
        </w:rPr>
        <w:t>下图为眼虫在适宜条件下增殖的示意图（仅显示部分染色体）。下列叙述正确的是（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F5A6217">
      <w:pPr>
        <w:spacing w:line="360" w:lineRule="auto"/>
        <w:jc w:val="left"/>
        <w:textAlignment w:val="center"/>
        <w:rPr>
          <w:color w:val="000000"/>
        </w:rPr>
      </w:pPr>
      <w:r>
        <w:rPr>
          <w:color w:val="000000"/>
        </w:rPr>
        <w:drawing>
          <wp:inline distT="0" distB="0" distL="114300" distR="114300">
            <wp:extent cx="5229225" cy="11239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229225" cy="1123950"/>
                    </a:xfrm>
                    <a:prstGeom prst="rect">
                      <a:avLst/>
                    </a:prstGeom>
                  </pic:spPr>
                </pic:pic>
              </a:graphicData>
            </a:graphic>
          </wp:inline>
        </w:drawing>
      </w:r>
      <w:r>
        <w:rPr>
          <w:color w:val="000000"/>
        </w:rPr>
        <w:t xml:space="preserve">  </w:t>
      </w:r>
    </w:p>
    <w:p w14:paraId="35B43644">
      <w:pPr>
        <w:spacing w:line="360" w:lineRule="auto"/>
        <w:jc w:val="left"/>
        <w:textAlignment w:val="center"/>
        <w:rPr>
          <w:color w:val="000000"/>
        </w:rPr>
      </w:pPr>
      <w:r>
        <w:rPr>
          <w:color w:val="000000"/>
        </w:rPr>
        <w:t xml:space="preserve">A. </w:t>
      </w:r>
      <w:r>
        <w:rPr>
          <w:rFonts w:ascii="宋体" w:hAnsi="宋体" w:eastAsia="宋体" w:cs="宋体"/>
          <w:color w:val="000000"/>
        </w:rPr>
        <w:t>②时期，细胞核的变化与高等动物细胞相同</w:t>
      </w:r>
    </w:p>
    <w:p w14:paraId="1350D355">
      <w:pPr>
        <w:spacing w:line="360" w:lineRule="auto"/>
        <w:jc w:val="left"/>
        <w:textAlignment w:val="center"/>
        <w:rPr>
          <w:color w:val="000000"/>
        </w:rPr>
      </w:pPr>
      <w:r>
        <w:rPr>
          <w:color w:val="000000"/>
        </w:rPr>
        <w:t xml:space="preserve">B. </w:t>
      </w:r>
      <w:r>
        <w:rPr>
          <w:rFonts w:ascii="宋体" w:hAnsi="宋体" w:eastAsia="宋体" w:cs="宋体"/>
          <w:color w:val="000000"/>
        </w:rPr>
        <w:t>③时期，染色体的着丝粒排列在赤道板上</w:t>
      </w:r>
    </w:p>
    <w:p w14:paraId="5273C9D7">
      <w:pPr>
        <w:spacing w:line="360" w:lineRule="auto"/>
        <w:jc w:val="left"/>
        <w:textAlignment w:val="center"/>
        <w:rPr>
          <w:color w:val="000000"/>
        </w:rPr>
      </w:pPr>
      <w:r>
        <w:rPr>
          <w:color w:val="000000"/>
        </w:rPr>
        <w:t xml:space="preserve">C. </w:t>
      </w:r>
      <w:r>
        <w:rPr>
          <w:rFonts w:ascii="宋体" w:hAnsi="宋体" w:eastAsia="宋体" w:cs="宋体"/>
          <w:color w:val="000000"/>
        </w:rPr>
        <w:t>④时期，非同源染色体自由组合</w:t>
      </w:r>
    </w:p>
    <w:p w14:paraId="0039D740">
      <w:pPr>
        <w:spacing w:line="360" w:lineRule="auto"/>
        <w:jc w:val="left"/>
        <w:textAlignment w:val="center"/>
        <w:rPr>
          <w:color w:val="000000"/>
        </w:rPr>
      </w:pPr>
      <w:r>
        <w:rPr>
          <w:color w:val="000000"/>
        </w:rPr>
        <w:t xml:space="preserve">D. </w:t>
      </w:r>
      <w:r>
        <w:rPr>
          <w:rFonts w:ascii="宋体" w:hAnsi="宋体" w:eastAsia="宋体" w:cs="宋体"/>
          <w:color w:val="000000"/>
        </w:rPr>
        <w:t>⑤时期，细胞质的分裂方式与高等植物细胞相同</w:t>
      </w:r>
    </w:p>
    <w:p w14:paraId="3DB2E565">
      <w:pPr>
        <w:spacing w:line="360" w:lineRule="auto"/>
        <w:jc w:val="left"/>
        <w:textAlignment w:val="center"/>
        <w:rPr>
          <w:color w:val="000000"/>
        </w:rPr>
      </w:pPr>
      <w:r>
        <w:rPr>
          <w:color w:val="000000"/>
        </w:rPr>
        <w:t xml:space="preserve">12. </w:t>
      </w:r>
      <w:r>
        <w:rPr>
          <w:rFonts w:ascii="宋体" w:hAnsi="宋体" w:eastAsia="宋体" w:cs="宋体"/>
          <w:color w:val="000000"/>
        </w:rPr>
        <w:t>分别用不同浓度芸苔素（一种植物生长调节剂）和赤霉素处理杜仲叶片，然后测定叶片中的有效成分桃叶珊瑚苷含量，结果如下图所示。下列叙述错误的是（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1FBFC64">
      <w:pPr>
        <w:spacing w:line="360" w:lineRule="auto"/>
        <w:jc w:val="left"/>
        <w:textAlignment w:val="center"/>
        <w:rPr>
          <w:color w:val="000000"/>
        </w:rPr>
      </w:pPr>
      <w:r>
        <w:rPr>
          <w:color w:val="000000"/>
        </w:rPr>
        <w:drawing>
          <wp:inline distT="0" distB="0" distL="114300" distR="114300">
            <wp:extent cx="3228975" cy="178117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228975" cy="1781175"/>
                    </a:xfrm>
                    <a:prstGeom prst="rect">
                      <a:avLst/>
                    </a:prstGeom>
                  </pic:spPr>
                </pic:pic>
              </a:graphicData>
            </a:graphic>
          </wp:inline>
        </w:drawing>
      </w:r>
      <w:r>
        <w:rPr>
          <w:color w:val="000000"/>
        </w:rPr>
        <w:t xml:space="preserve">  </w:t>
      </w:r>
    </w:p>
    <w:p w14:paraId="399878C4">
      <w:pPr>
        <w:spacing w:line="360" w:lineRule="auto"/>
        <w:jc w:val="left"/>
        <w:textAlignment w:val="center"/>
        <w:rPr>
          <w:color w:val="000000"/>
        </w:rPr>
      </w:pPr>
      <w:r>
        <w:rPr>
          <w:color w:val="000000"/>
        </w:rPr>
        <w:t xml:space="preserve">A. </w:t>
      </w:r>
      <w:r>
        <w:rPr>
          <w:rFonts w:ascii="宋体" w:hAnsi="宋体" w:eastAsia="宋体" w:cs="宋体"/>
          <w:color w:val="000000"/>
        </w:rPr>
        <w:t>实验中生长调节剂的浓度范围可以通过预实验确定</w:t>
      </w:r>
    </w:p>
    <w:p w14:paraId="6ED206E7">
      <w:pPr>
        <w:spacing w:line="360" w:lineRule="auto"/>
        <w:jc w:val="left"/>
        <w:textAlignment w:val="center"/>
        <w:rPr>
          <w:color w:val="000000"/>
        </w:rPr>
      </w:pPr>
      <w:r>
        <w:rPr>
          <w:color w:val="000000"/>
        </w:rPr>
        <w:t xml:space="preserve">B. </w:t>
      </w:r>
      <w:r>
        <w:rPr>
          <w:rFonts w:ascii="宋体" w:hAnsi="宋体" w:eastAsia="宋体" w:cs="宋体"/>
          <w:color w:val="000000"/>
        </w:rPr>
        <w:t>设置对照组是为了排除内源激素对实验结果的影响</w:t>
      </w:r>
    </w:p>
    <w:p w14:paraId="3275BF03">
      <w:pPr>
        <w:spacing w:line="360" w:lineRule="auto"/>
        <w:jc w:val="left"/>
        <w:textAlignment w:val="center"/>
        <w:rPr>
          <w:color w:val="000000"/>
        </w:rPr>
      </w:pPr>
      <w:r>
        <w:rPr>
          <w:color w:val="000000"/>
        </w:rPr>
        <w:t xml:space="preserve">C. </w:t>
      </w:r>
      <w:r>
        <w:rPr>
          <w:rFonts w:ascii="宋体" w:hAnsi="宋体" w:eastAsia="宋体" w:cs="宋体"/>
          <w:color w:val="000000"/>
        </w:rPr>
        <w:t>与对照组相比，赤霉素在</w:t>
      </w:r>
      <w:r>
        <w:rPr>
          <w:rFonts w:ascii="Times New Roman" w:hAnsi="Times New Roman" w:eastAsia="Times New Roman" w:cs="Times New Roman"/>
          <w:color w:val="000000"/>
        </w:rPr>
        <w:t>500mg·L</w:t>
      </w:r>
      <w:r>
        <w:rPr>
          <w:rFonts w:ascii="Times New Roman" w:hAnsi="Times New Roman" w:eastAsia="Times New Roman" w:cs="Times New Roman"/>
          <w:color w:val="000000"/>
          <w:vertAlign w:val="superscript"/>
        </w:rPr>
        <w:t>-1</w:t>
      </w:r>
      <w:r>
        <w:rPr>
          <w:rFonts w:ascii="宋体" w:hAnsi="宋体" w:eastAsia="宋体" w:cs="宋体"/>
          <w:color w:val="000000"/>
        </w:rPr>
        <w:t>时起抑制作用</w:t>
      </w:r>
    </w:p>
    <w:p w14:paraId="37D93755">
      <w:pPr>
        <w:spacing w:line="360" w:lineRule="auto"/>
        <w:jc w:val="left"/>
        <w:textAlignment w:val="center"/>
        <w:rPr>
          <w:color w:val="000000"/>
        </w:rPr>
      </w:pPr>
      <w:r>
        <w:rPr>
          <w:color w:val="000000"/>
        </w:rPr>
        <w:t xml:space="preserve">D. </w:t>
      </w:r>
      <w:r>
        <w:rPr>
          <w:rFonts w:ascii="宋体" w:hAnsi="宋体" w:eastAsia="宋体" w:cs="宋体"/>
          <w:color w:val="000000"/>
        </w:rPr>
        <w:t>与用赤霉素处理相比，杜仲叶片对芸苔素更敏感</w:t>
      </w:r>
    </w:p>
    <w:p w14:paraId="65856A48">
      <w:pPr>
        <w:spacing w:line="360" w:lineRule="auto"/>
        <w:jc w:val="left"/>
        <w:textAlignment w:val="center"/>
        <w:rPr>
          <w:color w:val="000000"/>
        </w:rPr>
      </w:pPr>
      <w:r>
        <w:rPr>
          <w:color w:val="000000"/>
        </w:rPr>
        <w:t xml:space="preserve">13. </w:t>
      </w:r>
      <w:r>
        <w:rPr>
          <w:rFonts w:ascii="宋体" w:hAnsi="宋体" w:eastAsia="宋体" w:cs="宋体"/>
          <w:color w:val="000000"/>
        </w:rPr>
        <w:t>利用某种微生物发酵生产</w:t>
      </w:r>
      <w:r>
        <w:rPr>
          <w:rFonts w:ascii="Times New Roman" w:hAnsi="Times New Roman" w:eastAsia="Times New Roman" w:cs="Times New Roman"/>
          <w:color w:val="000000"/>
        </w:rPr>
        <w:t>DHA</w:t>
      </w:r>
      <w:r>
        <w:rPr>
          <w:rFonts w:ascii="宋体" w:hAnsi="宋体" w:eastAsia="宋体" w:cs="宋体"/>
          <w:color w:val="000000"/>
        </w:rPr>
        <w:t>油脂，可获取</w:t>
      </w:r>
      <w:r>
        <w:rPr>
          <w:rFonts w:ascii="Times New Roman" w:hAnsi="Times New Roman" w:eastAsia="Times New Roman" w:cs="Times New Roman"/>
          <w:color w:val="000000"/>
        </w:rPr>
        <w:t>DHA</w:t>
      </w:r>
      <w:r>
        <w:rPr>
          <w:rFonts w:ascii="宋体" w:hAnsi="宋体" w:eastAsia="宋体" w:cs="宋体"/>
          <w:color w:val="000000"/>
        </w:rPr>
        <w:t>（一种不饱和脂肪酸）。下图为发酵过程中物质含量变化曲线。下列叙述错误的是（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8CA8BDA">
      <w:pPr>
        <w:spacing w:line="360" w:lineRule="auto"/>
        <w:jc w:val="left"/>
        <w:textAlignment w:val="center"/>
        <w:rPr>
          <w:color w:val="000000"/>
        </w:rPr>
      </w:pPr>
      <w:r>
        <w:rPr>
          <w:color w:val="000000"/>
        </w:rPr>
        <w:drawing>
          <wp:inline distT="0" distB="0" distL="114300" distR="114300">
            <wp:extent cx="3914775" cy="27717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914775" cy="2771775"/>
                    </a:xfrm>
                    <a:prstGeom prst="rect">
                      <a:avLst/>
                    </a:prstGeom>
                  </pic:spPr>
                </pic:pic>
              </a:graphicData>
            </a:graphic>
          </wp:inline>
        </w:drawing>
      </w:r>
      <w:r>
        <w:rPr>
          <w:color w:val="000000"/>
        </w:rPr>
        <w:t xml:space="preserve">  </w:t>
      </w:r>
    </w:p>
    <w:p w14:paraId="3D0297A5">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DHA</w:t>
      </w:r>
      <w:r>
        <w:rPr>
          <w:rFonts w:ascii="宋体" w:hAnsi="宋体" w:eastAsia="宋体" w:cs="宋体"/>
          <w:color w:val="000000"/>
        </w:rPr>
        <w:t>油脂的产量与生物量呈正相关</w:t>
      </w:r>
    </w:p>
    <w:p w14:paraId="38AEBD0A">
      <w:pPr>
        <w:spacing w:line="360" w:lineRule="auto"/>
        <w:jc w:val="left"/>
        <w:textAlignment w:val="center"/>
        <w:rPr>
          <w:color w:val="000000"/>
        </w:rPr>
      </w:pPr>
      <w:r>
        <w:rPr>
          <w:color w:val="000000"/>
        </w:rPr>
        <w:t xml:space="preserve">B. </w:t>
      </w:r>
      <w:r>
        <w:rPr>
          <w:rFonts w:ascii="宋体" w:hAnsi="宋体" w:eastAsia="宋体" w:cs="宋体"/>
          <w:color w:val="000000"/>
        </w:rPr>
        <w:t>温度和溶解氧的变化能影响</w:t>
      </w:r>
      <w:r>
        <w:rPr>
          <w:rFonts w:ascii="Times New Roman" w:hAnsi="Times New Roman" w:eastAsia="Times New Roman" w:cs="Times New Roman"/>
          <w:color w:val="000000"/>
        </w:rPr>
        <w:t>DHA</w:t>
      </w:r>
      <w:r>
        <w:rPr>
          <w:rFonts w:ascii="宋体" w:hAnsi="宋体" w:eastAsia="宋体" w:cs="宋体"/>
          <w:color w:val="000000"/>
        </w:rPr>
        <w:t>油脂的产量</w:t>
      </w:r>
    </w:p>
    <w:p w14:paraId="46F27DC2">
      <w:pPr>
        <w:spacing w:line="360" w:lineRule="auto"/>
        <w:jc w:val="left"/>
        <w:textAlignment w:val="center"/>
        <w:rPr>
          <w:color w:val="000000"/>
        </w:rPr>
      </w:pPr>
      <w:r>
        <w:rPr>
          <w:color w:val="000000"/>
        </w:rPr>
        <w:t xml:space="preserve">C. </w:t>
      </w:r>
      <w:r>
        <w:rPr>
          <w:rFonts w:ascii="宋体" w:hAnsi="宋体" w:eastAsia="宋体" w:cs="宋体"/>
          <w:color w:val="000000"/>
        </w:rPr>
        <w:t>葡萄糖代谢可为</w:t>
      </w:r>
      <w:r>
        <w:rPr>
          <w:rFonts w:ascii="Times New Roman" w:hAnsi="Times New Roman" w:eastAsia="Times New Roman" w:cs="Times New Roman"/>
          <w:color w:val="000000"/>
        </w:rPr>
        <w:t>DHA</w:t>
      </w:r>
      <w:r>
        <w:rPr>
          <w:rFonts w:ascii="宋体" w:hAnsi="宋体" w:eastAsia="宋体" w:cs="宋体"/>
          <w:color w:val="000000"/>
        </w:rPr>
        <w:t>油脂的合成提供能量</w:t>
      </w:r>
    </w:p>
    <w:p w14:paraId="5DF3A153">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12</w:t>
      </w:r>
      <w:r>
        <w:rPr>
          <w:rFonts w:ascii="宋体" w:hAnsi="宋体" w:eastAsia="宋体" w:cs="宋体"/>
          <w:color w:val="000000"/>
        </w:rPr>
        <w:t>～</w:t>
      </w:r>
      <w:r>
        <w:rPr>
          <w:rFonts w:ascii="Times New Roman" w:hAnsi="Times New Roman" w:eastAsia="Times New Roman" w:cs="Times New Roman"/>
          <w:color w:val="000000"/>
        </w:rPr>
        <w:t>60h</w:t>
      </w:r>
      <w:r>
        <w:rPr>
          <w:rFonts w:ascii="宋体" w:hAnsi="宋体" w:eastAsia="宋体" w:cs="宋体"/>
          <w:color w:val="000000"/>
        </w:rPr>
        <w:t>，</w:t>
      </w:r>
      <w:r>
        <w:rPr>
          <w:rFonts w:ascii="Times New Roman" w:hAnsi="Times New Roman" w:eastAsia="Times New Roman" w:cs="Times New Roman"/>
          <w:color w:val="000000"/>
        </w:rPr>
        <w:t>DHA</w:t>
      </w:r>
      <w:r>
        <w:rPr>
          <w:rFonts w:ascii="宋体" w:hAnsi="宋体" w:eastAsia="宋体" w:cs="宋体"/>
          <w:color w:val="000000"/>
        </w:rPr>
        <w:t>油脂的合成对氮源的需求比碳源高</w:t>
      </w:r>
    </w:p>
    <w:p w14:paraId="785A58CA">
      <w:pPr>
        <w:spacing w:line="360" w:lineRule="auto"/>
        <w:jc w:val="left"/>
        <w:textAlignment w:val="center"/>
        <w:rPr>
          <w:color w:val="000000"/>
        </w:rPr>
      </w:pPr>
      <w:r>
        <w:rPr>
          <w:color w:val="000000"/>
        </w:rPr>
        <w:t xml:space="preserve">14. </w:t>
      </w:r>
      <w:r>
        <w:rPr>
          <w:rFonts w:ascii="宋体" w:hAnsi="宋体" w:eastAsia="宋体" w:cs="宋体"/>
          <w:color w:val="000000"/>
        </w:rPr>
        <w:t>用含有不同植物生长调节剂配比的培养基诱导草莓茎尖形成不定芽，研究结果如下表。下列叙述错误的是（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5"/>
        <w:tblW w:w="81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30"/>
        <w:gridCol w:w="655"/>
        <w:gridCol w:w="586"/>
        <w:gridCol w:w="586"/>
        <w:gridCol w:w="586"/>
        <w:gridCol w:w="586"/>
        <w:gridCol w:w="655"/>
        <w:gridCol w:w="586"/>
        <w:gridCol w:w="586"/>
        <w:gridCol w:w="587"/>
        <w:gridCol w:w="587"/>
      </w:tblGrid>
      <w:tr w14:paraId="59E4F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DC26EB">
            <w:pPr>
              <w:spacing w:line="360" w:lineRule="auto"/>
              <w:jc w:val="left"/>
              <w:textAlignment w:val="center"/>
              <w:rPr>
                <w:color w:val="000000"/>
              </w:rPr>
            </w:pPr>
            <w:r>
              <w:rPr>
                <w:color w:val="000000"/>
              </w:rPr>
              <w:drawing>
                <wp:inline distT="0" distB="0" distL="114300" distR="114300">
                  <wp:extent cx="1200150" cy="5619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200150" cy="56197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D06100">
            <w:pPr>
              <w:spacing w:line="360" w:lineRule="auto"/>
              <w:jc w:val="left"/>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1F3188">
            <w:pPr>
              <w:spacing w:line="360" w:lineRule="auto"/>
              <w:jc w:val="left"/>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D6603F">
            <w:pPr>
              <w:spacing w:line="360" w:lineRule="auto"/>
              <w:jc w:val="left"/>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76D62D">
            <w:pPr>
              <w:spacing w:line="360" w:lineRule="auto"/>
              <w:jc w:val="left"/>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B2A103">
            <w:pPr>
              <w:spacing w:line="360" w:lineRule="auto"/>
              <w:jc w:val="left"/>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C628BD">
            <w:pPr>
              <w:spacing w:line="360" w:lineRule="auto"/>
              <w:jc w:val="left"/>
              <w:textAlignment w:val="center"/>
              <w:rPr>
                <w:color w:val="000000"/>
              </w:rPr>
            </w:pPr>
            <w:r>
              <w:rPr>
                <w:rFonts w:ascii="Times New Roman" w:hAnsi="Times New Roman" w:eastAsia="Times New Roman" w:cs="Times New Roman"/>
                <w:color w:val="000000"/>
              </w:rPr>
              <w:t>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A2FF16">
            <w:pPr>
              <w:spacing w:line="360" w:lineRule="auto"/>
              <w:jc w:val="left"/>
              <w:textAlignment w:val="center"/>
              <w:rPr>
                <w:color w:val="000000"/>
              </w:rPr>
            </w:pPr>
            <w:r>
              <w:rPr>
                <w:rFonts w:ascii="Times New Roman" w:hAnsi="Times New Roman" w:eastAsia="Times New Roman" w:cs="Times New Roman"/>
                <w:color w:val="000000"/>
              </w:rPr>
              <w:t>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C9E2D4">
            <w:pPr>
              <w:spacing w:line="360" w:lineRule="auto"/>
              <w:jc w:val="left"/>
              <w:textAlignment w:val="center"/>
              <w:rPr>
                <w:color w:val="000000"/>
              </w:rPr>
            </w:pPr>
            <w:r>
              <w:rPr>
                <w:rFonts w:ascii="Times New Roman" w:hAnsi="Times New Roman" w:eastAsia="Times New Roman" w:cs="Times New Roman"/>
                <w:color w:val="000000"/>
              </w:rPr>
              <w:t>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4FF8CD">
            <w:pPr>
              <w:spacing w:line="360" w:lineRule="auto"/>
              <w:jc w:val="left"/>
              <w:textAlignment w:val="center"/>
              <w:rPr>
                <w:color w:val="000000"/>
              </w:rPr>
            </w:pPr>
            <w:r>
              <w:rPr>
                <w:rFonts w:ascii="Times New Roman" w:hAnsi="Times New Roman" w:eastAsia="Times New Roman" w:cs="Times New Roman"/>
                <w:color w:val="000000"/>
              </w:rPr>
              <w:t>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EF83F0">
            <w:pPr>
              <w:spacing w:line="360" w:lineRule="auto"/>
              <w:jc w:val="left"/>
              <w:textAlignment w:val="center"/>
              <w:rPr>
                <w:color w:val="000000"/>
              </w:rPr>
            </w:pPr>
            <w:r>
              <w:rPr>
                <w:rFonts w:ascii="Times New Roman" w:hAnsi="Times New Roman" w:eastAsia="Times New Roman" w:cs="Times New Roman"/>
                <w:color w:val="000000"/>
              </w:rPr>
              <w:t>10</w:t>
            </w:r>
          </w:p>
        </w:tc>
      </w:tr>
      <w:tr w14:paraId="4C6A8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593B9F">
            <w:pPr>
              <w:spacing w:line="360" w:lineRule="auto"/>
              <w:jc w:val="left"/>
              <w:textAlignment w:val="center"/>
              <w:rPr>
                <w:color w:val="000000"/>
              </w:rPr>
            </w:pPr>
            <w:r>
              <w:rPr>
                <w:rFonts w:ascii="Times New Roman" w:hAnsi="Times New Roman" w:eastAsia="Times New Roman" w:cs="Times New Roman"/>
                <w:color w:val="000000"/>
              </w:rPr>
              <w:t>6-BA</w:t>
            </w:r>
            <w:r>
              <w:rPr>
                <w:rFonts w:ascii="宋体" w:hAnsi="宋体" w:eastAsia="宋体" w:cs="宋体"/>
                <w:color w:val="000000"/>
              </w:rPr>
              <w:t>（</w:t>
            </w:r>
            <w:r>
              <w:rPr>
                <w:rFonts w:ascii="Times New Roman" w:hAnsi="Times New Roman" w:eastAsia="Times New Roman" w:cs="Times New Roman"/>
                <w:color w:val="000000"/>
              </w:rPr>
              <w:t>mg·L</w:t>
            </w:r>
            <w:r>
              <w:rPr>
                <w:color w:val="000000"/>
                <w:vertAlign w:val="superscript"/>
              </w:rPr>
              <w:t>-1</w:t>
            </w:r>
            <w:r>
              <w:rPr>
                <w:rFonts w:ascii="宋体" w:hAnsi="宋体" w:eastAsia="宋体" w:cs="宋体"/>
                <w:color w:val="000000"/>
              </w:rPr>
              <w:t>）</w:t>
            </w:r>
          </w:p>
        </w:tc>
        <w:tc>
          <w:tcPr>
            <w:gridSpan w:val="10"/>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4CF376">
            <w:pPr>
              <w:spacing w:line="360" w:lineRule="auto"/>
              <w:jc w:val="left"/>
              <w:textAlignment w:val="center"/>
              <w:rPr>
                <w:color w:val="000000"/>
              </w:rPr>
            </w:pPr>
            <w:r>
              <w:rPr>
                <w:rFonts w:ascii="Times New Roman" w:hAnsi="Times New Roman" w:eastAsia="Times New Roman" w:cs="Times New Roman"/>
                <w:color w:val="000000"/>
              </w:rPr>
              <w:t>1</w:t>
            </w:r>
          </w:p>
        </w:tc>
      </w:tr>
      <w:tr w14:paraId="1011D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5422FF">
            <w:pPr>
              <w:spacing w:line="360" w:lineRule="auto"/>
              <w:jc w:val="left"/>
              <w:textAlignment w:val="center"/>
              <w:rPr>
                <w:color w:val="000000"/>
              </w:rPr>
            </w:pPr>
            <w:r>
              <w:rPr>
                <w:rFonts w:ascii="Times New Roman" w:hAnsi="Times New Roman" w:eastAsia="Times New Roman" w:cs="Times New Roman"/>
                <w:color w:val="000000"/>
              </w:rPr>
              <w:t>NAA</w:t>
            </w:r>
            <w:r>
              <w:rPr>
                <w:rFonts w:ascii="宋体" w:hAnsi="宋体" w:eastAsia="宋体" w:cs="宋体"/>
                <w:color w:val="000000"/>
              </w:rPr>
              <w:t>（</w:t>
            </w:r>
            <w:r>
              <w:rPr>
                <w:rFonts w:ascii="Times New Roman" w:hAnsi="Times New Roman" w:eastAsia="Times New Roman" w:cs="Times New Roman"/>
                <w:color w:val="000000"/>
              </w:rPr>
              <w:t>mg</w:t>
            </w:r>
            <w:r>
              <w:rPr>
                <w:color w:val="000000"/>
              </w:rPr>
              <w:t>·</w:t>
            </w:r>
            <w:r>
              <w:rPr>
                <w:rFonts w:ascii="Times New Roman" w:hAnsi="Times New Roman" w:eastAsia="Times New Roman" w:cs="Times New Roman"/>
                <w:color w:val="000000"/>
              </w:rPr>
              <w:t>L</w:t>
            </w:r>
            <w:r>
              <w:rPr>
                <w:color w:val="000000"/>
                <w:vertAlign w:val="superscript"/>
              </w:rPr>
              <w:t>-1</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358D7F">
            <w:pPr>
              <w:spacing w:line="360" w:lineRule="auto"/>
              <w:jc w:val="left"/>
              <w:textAlignment w:val="center"/>
              <w:rPr>
                <w:color w:val="000000"/>
              </w:rPr>
            </w:pP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586A84">
            <w:pPr>
              <w:spacing w:line="360" w:lineRule="auto"/>
              <w:jc w:val="left"/>
              <w:textAlignment w:val="center"/>
              <w:rPr>
                <w:color w:val="000000"/>
              </w:rPr>
            </w:pP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D25456">
            <w:pPr>
              <w:spacing w:line="360" w:lineRule="auto"/>
              <w:jc w:val="left"/>
              <w:textAlignment w:val="center"/>
              <w:rPr>
                <w:color w:val="000000"/>
              </w:rPr>
            </w:pP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F8AB6C">
            <w:pPr>
              <w:spacing w:line="360" w:lineRule="auto"/>
              <w:jc w:val="left"/>
              <w:textAlignment w:val="center"/>
              <w:rPr>
                <w:color w:val="000000"/>
              </w:rPr>
            </w:pP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A8709D">
            <w:pPr>
              <w:spacing w:line="360" w:lineRule="auto"/>
              <w:jc w:val="left"/>
              <w:textAlignment w:val="center"/>
              <w:rPr>
                <w:color w:val="000000"/>
              </w:rPr>
            </w:pP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7DB7A7">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D53584">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27BA04">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8F7EFD">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66F932">
            <w:pPr>
              <w:spacing w:line="360" w:lineRule="auto"/>
              <w:jc w:val="left"/>
              <w:textAlignment w:val="center"/>
              <w:rPr>
                <w:color w:val="000000"/>
              </w:rPr>
            </w:pPr>
            <w:r>
              <w:rPr>
                <w:rFonts w:ascii="Times New Roman" w:hAnsi="Times New Roman" w:eastAsia="Times New Roman" w:cs="Times New Roman"/>
                <w:color w:val="000000"/>
              </w:rPr>
              <w:t>-</w:t>
            </w:r>
          </w:p>
        </w:tc>
      </w:tr>
      <w:tr w14:paraId="46A9E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013625">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4-D</w:t>
            </w:r>
            <w:r>
              <w:rPr>
                <w:rFonts w:ascii="宋体" w:hAnsi="宋体" w:eastAsia="宋体" w:cs="宋体"/>
                <w:color w:val="000000"/>
              </w:rPr>
              <w:t>（</w:t>
            </w:r>
            <w:r>
              <w:rPr>
                <w:rFonts w:ascii="Times New Roman" w:hAnsi="Times New Roman" w:eastAsia="Times New Roman" w:cs="Times New Roman"/>
                <w:color w:val="000000"/>
              </w:rPr>
              <w:t>mg</w:t>
            </w:r>
            <w:r>
              <w:rPr>
                <w:color w:val="000000"/>
              </w:rPr>
              <w:t>·</w:t>
            </w:r>
            <w:r>
              <w:rPr>
                <w:rFonts w:ascii="Times New Roman" w:hAnsi="Times New Roman" w:eastAsia="Times New Roman" w:cs="Times New Roman"/>
                <w:color w:val="000000"/>
              </w:rPr>
              <w:t>L</w:t>
            </w:r>
            <w:r>
              <w:rPr>
                <w:color w:val="000000"/>
                <w:vertAlign w:val="superscript"/>
              </w:rPr>
              <w:t>-1</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E22D03">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44311F">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6D1284">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6D1718">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929804">
            <w:pPr>
              <w:spacing w:line="360" w:lineRule="auto"/>
              <w:jc w:val="left"/>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E2590E">
            <w:pPr>
              <w:spacing w:line="360" w:lineRule="auto"/>
              <w:jc w:val="left"/>
              <w:textAlignment w:val="center"/>
              <w:rPr>
                <w:color w:val="000000"/>
              </w:rPr>
            </w:pP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86E070">
            <w:pPr>
              <w:spacing w:line="360" w:lineRule="auto"/>
              <w:jc w:val="left"/>
              <w:textAlignment w:val="center"/>
              <w:rPr>
                <w:color w:val="000000"/>
              </w:rPr>
            </w:pP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95C818">
            <w:pPr>
              <w:spacing w:line="360" w:lineRule="auto"/>
              <w:jc w:val="left"/>
              <w:textAlignment w:val="center"/>
              <w:rPr>
                <w:color w:val="000000"/>
              </w:rPr>
            </w:pP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267112">
            <w:pPr>
              <w:spacing w:line="360" w:lineRule="auto"/>
              <w:jc w:val="left"/>
              <w:textAlignment w:val="center"/>
              <w:rPr>
                <w:color w:val="000000"/>
              </w:rPr>
            </w:pP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1D0511">
            <w:pPr>
              <w:spacing w:line="360" w:lineRule="auto"/>
              <w:jc w:val="left"/>
              <w:textAlignment w:val="center"/>
              <w:rPr>
                <w:color w:val="000000"/>
              </w:rPr>
            </w:pP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5</w:t>
            </w:r>
          </w:p>
        </w:tc>
      </w:tr>
      <w:tr w14:paraId="3D5513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DE63D7">
            <w:pPr>
              <w:spacing w:line="360" w:lineRule="auto"/>
              <w:jc w:val="left"/>
              <w:textAlignment w:val="center"/>
              <w:rPr>
                <w:color w:val="000000"/>
              </w:rPr>
            </w:pPr>
            <w:r>
              <w:rPr>
                <w:rFonts w:ascii="宋体" w:hAnsi="宋体" w:eastAsia="宋体" w:cs="宋体"/>
                <w:color w:val="000000"/>
              </w:rPr>
              <w:t>不定芽诱导率（</w:t>
            </w:r>
            <w:r>
              <w:rPr>
                <w:rFonts w:ascii="Times New Roman" w:hAnsi="Times New Roman" w:eastAsia="Times New Roman" w:cs="Times New Roman"/>
                <w:color w:val="000000"/>
              </w:rPr>
              <w:t>%</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846F40">
            <w:pPr>
              <w:spacing w:line="360" w:lineRule="auto"/>
              <w:jc w:val="left"/>
              <w:textAlignment w:val="center"/>
              <w:rPr>
                <w:color w:val="000000"/>
              </w:rPr>
            </w:pPr>
            <w:r>
              <w:rPr>
                <w:rFonts w:ascii="Times New Roman" w:hAnsi="Times New Roman" w:eastAsia="Times New Roman" w:cs="Times New Roman"/>
                <w:color w:val="000000"/>
              </w:rPr>
              <w:t>68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FE5F41">
            <w:pPr>
              <w:spacing w:line="360" w:lineRule="auto"/>
              <w:jc w:val="left"/>
              <w:textAlignment w:val="center"/>
              <w:rPr>
                <w:color w:val="000000"/>
              </w:rPr>
            </w:pPr>
            <w:r>
              <w:rPr>
                <w:rFonts w:ascii="Times New Roman" w:hAnsi="Times New Roman" w:eastAsia="Times New Roman" w:cs="Times New Roman"/>
                <w:color w:val="000000"/>
              </w:rPr>
              <w:t>75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58385B">
            <w:pPr>
              <w:spacing w:line="360" w:lineRule="auto"/>
              <w:jc w:val="left"/>
              <w:textAlignment w:val="center"/>
              <w:rPr>
                <w:color w:val="000000"/>
              </w:rPr>
            </w:pPr>
            <w:r>
              <w:rPr>
                <w:rFonts w:ascii="Times New Roman" w:hAnsi="Times New Roman" w:eastAsia="Times New Roman" w:cs="Times New Roman"/>
                <w:color w:val="000000"/>
              </w:rPr>
              <w:t>77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6F98D6">
            <w:pPr>
              <w:spacing w:line="360" w:lineRule="auto"/>
              <w:jc w:val="left"/>
              <w:textAlignment w:val="center"/>
              <w:rPr>
                <w:color w:val="000000"/>
              </w:rPr>
            </w:pPr>
            <w:r>
              <w:rPr>
                <w:rFonts w:ascii="Times New Roman" w:hAnsi="Times New Roman" w:eastAsia="Times New Roman" w:cs="Times New Roman"/>
                <w:color w:val="000000"/>
              </w:rPr>
              <w:t>69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1C3C16">
            <w:pPr>
              <w:spacing w:line="360" w:lineRule="auto"/>
              <w:jc w:val="left"/>
              <w:textAlignment w:val="center"/>
              <w:rPr>
                <w:color w:val="000000"/>
              </w:rPr>
            </w:pPr>
            <w:r>
              <w:rPr>
                <w:rFonts w:ascii="Times New Roman" w:hAnsi="Times New Roman" w:eastAsia="Times New Roman" w:cs="Times New Roman"/>
                <w:color w:val="000000"/>
              </w:rPr>
              <w:t>59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419B10">
            <w:pPr>
              <w:spacing w:line="360" w:lineRule="auto"/>
              <w:jc w:val="left"/>
              <w:textAlignment w:val="center"/>
              <w:rPr>
                <w:color w:val="000000"/>
              </w:rPr>
            </w:pPr>
            <w:r>
              <w:rPr>
                <w:rFonts w:ascii="Times New Roman" w:hAnsi="Times New Roman" w:eastAsia="Times New Roman" w:cs="Times New Roman"/>
                <w:color w:val="000000"/>
              </w:rPr>
              <w:t>81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C21EDD">
            <w:pPr>
              <w:spacing w:line="360" w:lineRule="auto"/>
              <w:jc w:val="left"/>
              <w:textAlignment w:val="center"/>
              <w:rPr>
                <w:color w:val="000000"/>
              </w:rPr>
            </w:pPr>
            <w:r>
              <w:rPr>
                <w:rFonts w:ascii="Times New Roman" w:hAnsi="Times New Roman" w:eastAsia="Times New Roman" w:cs="Times New Roman"/>
                <w:color w:val="000000"/>
              </w:rPr>
              <w:t>92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9A5083">
            <w:pPr>
              <w:spacing w:line="360" w:lineRule="auto"/>
              <w:jc w:val="left"/>
              <w:textAlignment w:val="center"/>
              <w:rPr>
                <w:color w:val="000000"/>
              </w:rPr>
            </w:pPr>
            <w:r>
              <w:rPr>
                <w:rFonts w:ascii="Times New Roman" w:hAnsi="Times New Roman" w:eastAsia="Times New Roman" w:cs="Times New Roman"/>
                <w:color w:val="000000"/>
              </w:rPr>
              <w:t>83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D1A705">
            <w:pPr>
              <w:spacing w:line="360" w:lineRule="auto"/>
              <w:jc w:val="left"/>
              <w:textAlignment w:val="center"/>
              <w:rPr>
                <w:color w:val="000000"/>
              </w:rPr>
            </w:pPr>
            <w:r>
              <w:rPr>
                <w:rFonts w:ascii="Times New Roman" w:hAnsi="Times New Roman" w:eastAsia="Times New Roman" w:cs="Times New Roman"/>
                <w:color w:val="000000"/>
              </w:rPr>
              <w:t>70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FE23FB">
            <w:pPr>
              <w:spacing w:line="360" w:lineRule="auto"/>
              <w:jc w:val="left"/>
              <w:textAlignment w:val="center"/>
              <w:rPr>
                <w:color w:val="000000"/>
              </w:rPr>
            </w:pPr>
            <w:r>
              <w:rPr>
                <w:rFonts w:ascii="Times New Roman" w:hAnsi="Times New Roman" w:eastAsia="Times New Roman" w:cs="Times New Roman"/>
                <w:color w:val="000000"/>
              </w:rPr>
              <w:t>61</w:t>
            </w:r>
          </w:p>
        </w:tc>
      </w:tr>
    </w:tbl>
    <w:p w14:paraId="7B699566">
      <w:pPr>
        <w:spacing w:line="360" w:lineRule="auto"/>
        <w:jc w:val="left"/>
        <w:textAlignment w:val="center"/>
        <w:rPr>
          <w:color w:val="000000"/>
        </w:rPr>
      </w:pPr>
      <w:r>
        <w:rPr>
          <w:rFonts w:ascii="宋体" w:hAnsi="宋体" w:eastAsia="宋体" w:cs="宋体"/>
          <w:color w:val="000000"/>
        </w:rPr>
        <w:t>注：诱导率</w:t>
      </w:r>
      <w:r>
        <w:rPr>
          <w:rFonts w:ascii="Times New Roman" w:hAnsi="Times New Roman" w:eastAsia="Times New Roman" w:cs="Times New Roman"/>
          <w:color w:val="000000"/>
        </w:rPr>
        <w:t>=</w:t>
      </w:r>
      <w:r>
        <w:rPr>
          <w:rFonts w:ascii="宋体" w:hAnsi="宋体" w:eastAsia="宋体" w:cs="宋体"/>
          <w:color w:val="000000"/>
        </w:rPr>
        <w:t>出不定芽的外植体数</w:t>
      </w:r>
      <w:r>
        <w:rPr>
          <w:rFonts w:ascii="Times New Roman" w:hAnsi="Times New Roman" w:eastAsia="Times New Roman" w:cs="Times New Roman"/>
          <w:color w:val="000000"/>
        </w:rPr>
        <w:t>/</w:t>
      </w:r>
      <w:r>
        <w:rPr>
          <w:rFonts w:ascii="宋体" w:hAnsi="宋体" w:eastAsia="宋体" w:cs="宋体"/>
          <w:color w:val="000000"/>
        </w:rPr>
        <w:t>接种的外植体数</w:t>
      </w:r>
      <w:r>
        <w:rPr>
          <w:rFonts w:ascii="Times New Roman" w:hAnsi="Times New Roman" w:eastAsia="Times New Roman" w:cs="Times New Roman"/>
          <w:color w:val="000000"/>
        </w:rPr>
        <w:t>×100%</w:t>
      </w:r>
    </w:p>
    <w:p w14:paraId="16E0A908">
      <w:pPr>
        <w:spacing w:line="360" w:lineRule="auto"/>
        <w:jc w:val="left"/>
        <w:textAlignment w:val="center"/>
        <w:rPr>
          <w:color w:val="000000"/>
        </w:rPr>
      </w:pPr>
      <w:r>
        <w:rPr>
          <w:color w:val="000000"/>
        </w:rPr>
        <w:t xml:space="preserve">A. </w:t>
      </w:r>
      <w:r>
        <w:rPr>
          <w:rFonts w:ascii="宋体" w:hAnsi="宋体" w:eastAsia="宋体" w:cs="宋体"/>
          <w:color w:val="000000"/>
        </w:rPr>
        <w:t>培养基中</w:t>
      </w:r>
      <w:r>
        <w:rPr>
          <w:rFonts w:ascii="Times New Roman" w:hAnsi="Times New Roman" w:eastAsia="Times New Roman" w:cs="Times New Roman"/>
          <w:color w:val="000000"/>
        </w:rPr>
        <w:t>NAA/6-BA</w:t>
      </w:r>
      <w:r>
        <w:rPr>
          <w:rFonts w:ascii="宋体" w:hAnsi="宋体" w:eastAsia="宋体" w:cs="宋体"/>
          <w:color w:val="000000"/>
        </w:rPr>
        <w:t>比例过高，不利于不定芽的诱导</w:t>
      </w:r>
    </w:p>
    <w:p w14:paraId="4CFD5561">
      <w:pPr>
        <w:spacing w:line="360" w:lineRule="auto"/>
        <w:jc w:val="left"/>
        <w:textAlignment w:val="center"/>
        <w:rPr>
          <w:color w:val="000000"/>
        </w:rPr>
      </w:pPr>
      <w:r>
        <w:rPr>
          <w:color w:val="000000"/>
        </w:rPr>
        <w:t xml:space="preserve">B. </w:t>
      </w:r>
      <w:r>
        <w:rPr>
          <w:rFonts w:ascii="宋体" w:hAnsi="宋体" w:eastAsia="宋体" w:cs="宋体"/>
          <w:color w:val="000000"/>
        </w:rPr>
        <w:t>推断</w:t>
      </w:r>
      <w:r>
        <w:rPr>
          <w:rFonts w:ascii="Times New Roman" w:hAnsi="Times New Roman" w:eastAsia="Times New Roman" w:cs="Times New Roman"/>
          <w:color w:val="000000"/>
        </w:rPr>
        <w:t>6-BA</w:t>
      </w:r>
      <w:r>
        <w:rPr>
          <w:rFonts w:ascii="宋体" w:hAnsi="宋体" w:eastAsia="宋体" w:cs="宋体"/>
          <w:color w:val="000000"/>
        </w:rPr>
        <w:t>应为细胞分裂素类植物生长调节剂</w:t>
      </w:r>
    </w:p>
    <w:p w14:paraId="28A83119">
      <w:pPr>
        <w:spacing w:line="360" w:lineRule="auto"/>
        <w:jc w:val="left"/>
        <w:textAlignment w:val="center"/>
        <w:rPr>
          <w:color w:val="000000"/>
        </w:rPr>
      </w:pPr>
      <w:r>
        <w:rPr>
          <w:color w:val="000000"/>
        </w:rPr>
        <w:t xml:space="preserve">C. </w:t>
      </w:r>
      <w:r>
        <w:rPr>
          <w:rFonts w:ascii="宋体" w:hAnsi="宋体" w:eastAsia="宋体" w:cs="宋体"/>
          <w:color w:val="000000"/>
        </w:rPr>
        <w:t>该研究的结果可指导草莓脱毒苗的生产</w:t>
      </w:r>
    </w:p>
    <w:p w14:paraId="5506E9AC">
      <w:pPr>
        <w:spacing w:line="360" w:lineRule="auto"/>
        <w:jc w:val="left"/>
        <w:textAlignment w:val="center"/>
        <w:rPr>
          <w:color w:val="000000"/>
        </w:rPr>
      </w:pPr>
      <w:r>
        <w:rPr>
          <w:color w:val="000000"/>
        </w:rPr>
        <w:t xml:space="preserve">D. </w:t>
      </w:r>
      <w:r>
        <w:rPr>
          <w:rFonts w:ascii="宋体" w:hAnsi="宋体" w:eastAsia="宋体" w:cs="宋体"/>
          <w:color w:val="000000"/>
        </w:rPr>
        <w:t>相同条件下，</w:t>
      </w:r>
      <w:r>
        <w:rPr>
          <w:rFonts w:ascii="Times New Roman" w:hAnsi="Times New Roman" w:eastAsia="Times New Roman" w:cs="Times New Roman"/>
          <w:color w:val="000000"/>
        </w:rPr>
        <w:t>NAA</w:t>
      </w:r>
      <w:r>
        <w:rPr>
          <w:rFonts w:ascii="宋体" w:hAnsi="宋体" w:eastAsia="宋体" w:cs="宋体"/>
          <w:color w:val="000000"/>
        </w:rPr>
        <w:t>诱导草莓茎尖形成不定芽的效果优于</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4-D</w:t>
      </w:r>
    </w:p>
    <w:p w14:paraId="4EA5FD4A">
      <w:pPr>
        <w:spacing w:line="360" w:lineRule="auto"/>
        <w:jc w:val="left"/>
        <w:textAlignment w:val="center"/>
        <w:rPr>
          <w:color w:val="000000"/>
        </w:rPr>
      </w:pPr>
      <w:r>
        <w:rPr>
          <w:color w:val="000000"/>
        </w:rPr>
        <w:t xml:space="preserve">15. </w:t>
      </w:r>
      <w:r>
        <w:rPr>
          <w:rFonts w:ascii="宋体" w:hAnsi="宋体" w:eastAsia="宋体" w:cs="宋体"/>
          <w:color w:val="000000"/>
        </w:rPr>
        <w:t>尾悬吊（后肢悬空）的大鼠常被用作骨骼肌萎缩研究的实验模型。将实验大鼠随机均分为</w:t>
      </w:r>
      <w:r>
        <w:rPr>
          <w:rFonts w:ascii="Times New Roman" w:hAnsi="Times New Roman" w:eastAsia="Times New Roman" w:cs="Times New Roman"/>
          <w:color w:val="000000"/>
        </w:rPr>
        <w:t>3</w:t>
      </w:r>
      <w:r>
        <w:rPr>
          <w:rFonts w:ascii="宋体" w:hAnsi="宋体" w:eastAsia="宋体" w:cs="宋体"/>
          <w:color w:val="000000"/>
        </w:rPr>
        <w:t>组：甲组不悬吊；乙组悬吊；丙组悬吊</w:t>
      </w:r>
      <w:r>
        <w:rPr>
          <w:rFonts w:ascii="Times New Roman" w:hAnsi="Times New Roman" w:eastAsia="Times New Roman" w:cs="Times New Roman"/>
          <w:color w:val="000000"/>
        </w:rPr>
        <w:t>+</w:t>
      </w:r>
      <w:r>
        <w:rPr>
          <w:rFonts w:ascii="宋体" w:hAnsi="宋体" w:eastAsia="宋体" w:cs="宋体"/>
          <w:color w:val="000000"/>
        </w:rPr>
        <w:t>电针插入骨骼肌刺激。</w:t>
      </w:r>
      <w:r>
        <w:rPr>
          <w:rFonts w:ascii="Times New Roman" w:hAnsi="Times New Roman" w:eastAsia="Times New Roman" w:cs="Times New Roman"/>
          <w:color w:val="000000"/>
        </w:rPr>
        <w:t>4</w:t>
      </w:r>
      <w:r>
        <w:rPr>
          <w:rFonts w:ascii="宋体" w:hAnsi="宋体" w:eastAsia="宋体" w:cs="宋体"/>
          <w:color w:val="000000"/>
        </w:rPr>
        <w:t>周后结果显示：与甲组相比，乙组大鼠后肢小腿骨骼肌出现重量降低、肌纤维横截面积减小等肌萎缩症状；丙组的肌萎缩症状比乙组有一定程度的减轻。据此分析，下列叙述错误的是（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C600B26">
      <w:pPr>
        <w:spacing w:line="360" w:lineRule="auto"/>
        <w:jc w:val="left"/>
        <w:textAlignment w:val="center"/>
        <w:rPr>
          <w:color w:val="000000"/>
        </w:rPr>
      </w:pPr>
      <w:r>
        <w:rPr>
          <w:color w:val="000000"/>
        </w:rPr>
        <w:t xml:space="preserve">A. </w:t>
      </w:r>
      <w:r>
        <w:rPr>
          <w:rFonts w:ascii="宋体" w:hAnsi="宋体" w:eastAsia="宋体" w:cs="宋体"/>
          <w:color w:val="000000"/>
        </w:rPr>
        <w:t>尾悬吊使大鼠骨骼肌的肌蛋白降解速度大于合成速度</w:t>
      </w:r>
    </w:p>
    <w:p w14:paraId="697E0E84">
      <w:pPr>
        <w:spacing w:line="360" w:lineRule="auto"/>
        <w:jc w:val="left"/>
        <w:textAlignment w:val="center"/>
        <w:rPr>
          <w:color w:val="000000"/>
        </w:rPr>
      </w:pPr>
      <w:r>
        <w:rPr>
          <w:color w:val="000000"/>
        </w:rPr>
        <w:t xml:space="preserve">B. </w:t>
      </w:r>
      <w:r>
        <w:rPr>
          <w:rFonts w:ascii="宋体" w:hAnsi="宋体" w:eastAsia="宋体" w:cs="宋体"/>
          <w:color w:val="000000"/>
        </w:rPr>
        <w:t>乙组大鼠后肢骨骼肌萎缩与神经</w:t>
      </w:r>
      <w:r>
        <w:rPr>
          <w:rFonts w:ascii="Times New Roman" w:hAnsi="Times New Roman" w:eastAsia="Times New Roman" w:cs="Times New Roman"/>
          <w:color w:val="000000"/>
        </w:rPr>
        <w:t>—</w:t>
      </w:r>
      <w:r>
        <w:rPr>
          <w:rFonts w:ascii="宋体" w:hAnsi="宋体" w:eastAsia="宋体" w:cs="宋体"/>
          <w:color w:val="000000"/>
        </w:rPr>
        <w:t>肌肉突触传递减弱有关</w:t>
      </w:r>
    </w:p>
    <w:p w14:paraId="557499FC">
      <w:pPr>
        <w:spacing w:line="360" w:lineRule="auto"/>
        <w:jc w:val="left"/>
        <w:textAlignment w:val="center"/>
        <w:rPr>
          <w:color w:val="000000"/>
        </w:rPr>
      </w:pPr>
      <w:r>
        <w:rPr>
          <w:color w:val="000000"/>
        </w:rPr>
        <w:t xml:space="preserve">C. </w:t>
      </w:r>
      <w:r>
        <w:rPr>
          <w:rFonts w:ascii="宋体" w:hAnsi="宋体" w:eastAsia="宋体" w:cs="宋体"/>
          <w:color w:val="000000"/>
        </w:rPr>
        <w:t>对丙组大鼠施加的电刺激信号经反射弧调控骨骼肌收缩</w:t>
      </w:r>
    </w:p>
    <w:p w14:paraId="073FA501">
      <w:pPr>
        <w:spacing w:line="360" w:lineRule="auto"/>
        <w:jc w:val="left"/>
        <w:textAlignment w:val="center"/>
        <w:rPr>
          <w:color w:val="000000"/>
        </w:rPr>
      </w:pPr>
      <w:r>
        <w:rPr>
          <w:color w:val="000000"/>
        </w:rPr>
        <w:t xml:space="preserve">D. </w:t>
      </w:r>
      <w:r>
        <w:rPr>
          <w:rFonts w:ascii="宋体" w:hAnsi="宋体" w:eastAsia="宋体" w:cs="宋体"/>
          <w:color w:val="000000"/>
        </w:rPr>
        <w:t>长期卧床病人通过适当的电刺激可能缓解骨骼肌萎缩</w:t>
      </w:r>
    </w:p>
    <w:p w14:paraId="7AA4DD3E">
      <w:pPr>
        <w:spacing w:line="360" w:lineRule="auto"/>
        <w:jc w:val="left"/>
        <w:textAlignment w:val="center"/>
        <w:rPr>
          <w:color w:val="000000"/>
        </w:rPr>
      </w:pPr>
      <w:r>
        <w:rPr>
          <w:rFonts w:ascii="宋体" w:hAnsi="宋体" w:eastAsia="宋体" w:cs="宋体"/>
          <w:b/>
          <w:color w:val="000000"/>
          <w:sz w:val="24"/>
        </w:rPr>
        <w:t>二、选择题：本题共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3</w:t>
      </w:r>
      <w:r>
        <w:rPr>
          <w:rFonts w:ascii="宋体" w:hAnsi="宋体" w:eastAsia="宋体" w:cs="宋体"/>
          <w:b/>
          <w:color w:val="000000"/>
          <w:sz w:val="24"/>
        </w:rPr>
        <w:t>分，共</w:t>
      </w:r>
      <w:r>
        <w:rPr>
          <w:rFonts w:ascii="Times New Roman" w:hAnsi="Times New Roman" w:eastAsia="Times New Roman" w:cs="Times New Roman"/>
          <w:b/>
          <w:color w:val="000000"/>
          <w:sz w:val="24"/>
        </w:rPr>
        <w:t>15</w:t>
      </w:r>
      <w:r>
        <w:rPr>
          <w:rFonts w:ascii="宋体" w:hAnsi="宋体" w:eastAsia="宋体" w:cs="宋体"/>
          <w:b/>
          <w:color w:val="000000"/>
          <w:sz w:val="24"/>
        </w:rPr>
        <w:t>分。在每小题给出的四个选项中，有一项或多项符合题目要求。全部选对得</w:t>
      </w:r>
      <w:r>
        <w:rPr>
          <w:rFonts w:ascii="Times New Roman" w:hAnsi="Times New Roman" w:eastAsia="Times New Roman" w:cs="Times New Roman"/>
          <w:b/>
          <w:color w:val="000000"/>
          <w:sz w:val="24"/>
        </w:rPr>
        <w:t>3</w:t>
      </w:r>
      <w:r>
        <w:rPr>
          <w:rFonts w:ascii="宋体" w:hAnsi="宋体" w:eastAsia="宋体" w:cs="宋体"/>
          <w:b/>
          <w:color w:val="000000"/>
          <w:sz w:val="24"/>
        </w:rPr>
        <w:t>分，选对但不全得</w:t>
      </w:r>
      <w:r>
        <w:rPr>
          <w:rFonts w:ascii="Times New Roman" w:hAnsi="Times New Roman" w:eastAsia="Times New Roman" w:cs="Times New Roman"/>
          <w:b/>
          <w:color w:val="000000"/>
          <w:sz w:val="24"/>
        </w:rPr>
        <w:t>1</w:t>
      </w:r>
      <w:r>
        <w:rPr>
          <w:rFonts w:ascii="宋体" w:hAnsi="宋体" w:eastAsia="宋体" w:cs="宋体"/>
          <w:b/>
          <w:color w:val="000000"/>
          <w:sz w:val="24"/>
        </w:rPr>
        <w:t>分，有选错得</w:t>
      </w:r>
      <w:r>
        <w:rPr>
          <w:rFonts w:ascii="Times New Roman" w:hAnsi="Times New Roman" w:eastAsia="Times New Roman" w:cs="Times New Roman"/>
          <w:b/>
          <w:color w:val="000000"/>
          <w:sz w:val="24"/>
        </w:rPr>
        <w:t>0</w:t>
      </w:r>
      <w:r>
        <w:rPr>
          <w:rFonts w:ascii="宋体" w:hAnsi="宋体" w:eastAsia="宋体" w:cs="宋体"/>
          <w:b/>
          <w:color w:val="000000"/>
          <w:sz w:val="24"/>
        </w:rPr>
        <w:t>分。</w:t>
      </w:r>
    </w:p>
    <w:p w14:paraId="17B3AFB7">
      <w:pPr>
        <w:spacing w:line="360" w:lineRule="auto"/>
        <w:jc w:val="left"/>
        <w:textAlignment w:val="center"/>
        <w:rPr>
          <w:color w:val="000000"/>
        </w:rPr>
      </w:pPr>
      <w:r>
        <w:rPr>
          <w:color w:val="000000"/>
        </w:rPr>
        <w:t xml:space="preserve">16. </w:t>
      </w:r>
      <w:r>
        <w:rPr>
          <w:rFonts w:ascii="宋体" w:hAnsi="宋体" w:eastAsia="宋体" w:cs="宋体"/>
          <w:color w:val="000000"/>
        </w:rPr>
        <w:t>下图是人体被某寄生虫感染后，发生特异性免疫的部分过程。下列叙述正确的是（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D49F766">
      <w:pPr>
        <w:spacing w:line="360" w:lineRule="auto"/>
        <w:jc w:val="left"/>
        <w:textAlignment w:val="center"/>
        <w:rPr>
          <w:color w:val="000000"/>
        </w:rPr>
      </w:pPr>
      <w:r>
        <w:rPr>
          <w:color w:val="000000"/>
        </w:rPr>
        <w:drawing>
          <wp:inline distT="0" distB="0" distL="114300" distR="114300">
            <wp:extent cx="5181600" cy="11811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181600" cy="1181100"/>
                    </a:xfrm>
                    <a:prstGeom prst="rect">
                      <a:avLst/>
                    </a:prstGeom>
                  </pic:spPr>
                </pic:pic>
              </a:graphicData>
            </a:graphic>
          </wp:inline>
        </w:drawing>
      </w:r>
      <w:r>
        <w:rPr>
          <w:color w:val="000000"/>
        </w:rPr>
        <w:t xml:space="preserve">  </w:t>
      </w:r>
    </w:p>
    <w:p w14:paraId="1A78A8C2">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m</w:t>
      </w:r>
      <w:r>
        <w:rPr>
          <w:rFonts w:ascii="宋体" w:hAnsi="宋体" w:eastAsia="宋体" w:cs="宋体"/>
          <w:color w:val="000000"/>
        </w:rPr>
        <w:t>为树突状细胞，能识别、吞噬抗原和呈递抗原信息</w:t>
      </w:r>
    </w:p>
    <w:p w14:paraId="588CCB09">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n</w:t>
      </w:r>
      <w:r>
        <w:rPr>
          <w:rFonts w:ascii="宋体" w:hAnsi="宋体" w:eastAsia="宋体" w:cs="宋体"/>
          <w:color w:val="000000"/>
        </w:rPr>
        <w:t>为辅助性</w:t>
      </w:r>
      <w:r>
        <w:rPr>
          <w:rFonts w:ascii="Times New Roman" w:hAnsi="Times New Roman" w:eastAsia="Times New Roman" w:cs="Times New Roman"/>
          <w:color w:val="000000"/>
        </w:rPr>
        <w:t>T</w:t>
      </w:r>
      <w:r>
        <w:rPr>
          <w:rFonts w:ascii="宋体" w:hAnsi="宋体" w:eastAsia="宋体" w:cs="宋体"/>
          <w:color w:val="000000"/>
        </w:rPr>
        <w:t>细胞，能分泌细胞因子、接受和传递信息</w:t>
      </w:r>
    </w:p>
    <w:p w14:paraId="0B0C4236">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p</w:t>
      </w:r>
      <w:r>
        <w:rPr>
          <w:rFonts w:ascii="宋体" w:hAnsi="宋体" w:eastAsia="宋体" w:cs="宋体"/>
          <w:color w:val="000000"/>
        </w:rPr>
        <w:t>为</w:t>
      </w:r>
      <w:r>
        <w:rPr>
          <w:rFonts w:ascii="Times New Roman" w:hAnsi="Times New Roman" w:eastAsia="Times New Roman" w:cs="Times New Roman"/>
          <w:color w:val="000000"/>
        </w:rPr>
        <w:t>B</w:t>
      </w:r>
      <w:r>
        <w:rPr>
          <w:rFonts w:ascii="宋体" w:hAnsi="宋体" w:eastAsia="宋体" w:cs="宋体"/>
          <w:color w:val="000000"/>
        </w:rPr>
        <w:t>细胞，其活化需两个信号的刺激和细胞因子的作用</w:t>
      </w:r>
    </w:p>
    <w:p w14:paraId="6808AB34">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q</w:t>
      </w:r>
      <w:r>
        <w:rPr>
          <w:rFonts w:ascii="宋体" w:hAnsi="宋体" w:eastAsia="宋体" w:cs="宋体"/>
          <w:color w:val="000000"/>
        </w:rPr>
        <w:t>为浆细胞，能分泌特异性抗体和分裂分化为记忆细胞</w:t>
      </w:r>
    </w:p>
    <w:p w14:paraId="7C75631A">
      <w:pPr>
        <w:spacing w:line="360" w:lineRule="auto"/>
        <w:jc w:val="left"/>
        <w:textAlignment w:val="center"/>
        <w:rPr>
          <w:color w:val="000000"/>
        </w:rPr>
      </w:pPr>
      <w:r>
        <w:rPr>
          <w:color w:val="000000"/>
        </w:rPr>
        <w:t xml:space="preserve">17. </w:t>
      </w:r>
      <w:r>
        <w:rPr>
          <w:rFonts w:ascii="宋体" w:hAnsi="宋体" w:eastAsia="宋体" w:cs="宋体"/>
          <w:color w:val="000000"/>
        </w:rPr>
        <w:t>磷（</w:t>
      </w:r>
      <w:r>
        <w:rPr>
          <w:rFonts w:ascii="Times New Roman" w:hAnsi="Times New Roman" w:eastAsia="Times New Roman" w:cs="Times New Roman"/>
          <w:color w:val="000000"/>
        </w:rPr>
        <w:t>P</w:t>
      </w:r>
      <w:r>
        <w:rPr>
          <w:rFonts w:ascii="宋体" w:hAnsi="宋体" w:eastAsia="宋体" w:cs="宋体"/>
          <w:color w:val="000000"/>
        </w:rPr>
        <w:t>）是导致水体富营养化的重要营养元素之一、湖水中</w:t>
      </w:r>
      <w:r>
        <w:rPr>
          <w:rFonts w:ascii="Times New Roman" w:hAnsi="Times New Roman" w:eastAsia="Times New Roman" w:cs="Times New Roman"/>
          <w:color w:val="000000"/>
        </w:rPr>
        <w:t>P</w:t>
      </w:r>
      <w:r>
        <w:rPr>
          <w:rFonts w:ascii="宋体" w:hAnsi="宋体" w:eastAsia="宋体" w:cs="宋体"/>
          <w:color w:val="000000"/>
        </w:rPr>
        <w:t>会随生物遗体残骸、排泄物等沉入底泥。当遇到风浪扰动时，浅水型湖泊底泥中的</w:t>
      </w:r>
      <w:r>
        <w:rPr>
          <w:rFonts w:ascii="Times New Roman" w:hAnsi="Times New Roman" w:eastAsia="Times New Roman" w:cs="Times New Roman"/>
          <w:color w:val="000000"/>
        </w:rPr>
        <w:t>P</w:t>
      </w:r>
      <w:r>
        <w:rPr>
          <w:rFonts w:ascii="宋体" w:hAnsi="宋体" w:eastAsia="宋体" w:cs="宋体"/>
          <w:color w:val="000000"/>
        </w:rPr>
        <w:t>会进入上层水体而被生物重新利用；深水型湖泊因水体过深，底泥中的</w:t>
      </w:r>
      <w:r>
        <w:rPr>
          <w:rFonts w:ascii="Times New Roman" w:hAnsi="Times New Roman" w:eastAsia="Times New Roman" w:cs="Times New Roman"/>
          <w:color w:val="000000"/>
        </w:rPr>
        <w:t>P</w:t>
      </w:r>
      <w:r>
        <w:rPr>
          <w:rFonts w:ascii="宋体" w:hAnsi="宋体" w:eastAsia="宋体" w:cs="宋体"/>
          <w:color w:val="000000"/>
        </w:rPr>
        <w:t>无法被风浪扰动进入上层水体。若仅考虑</w:t>
      </w:r>
      <w:r>
        <w:rPr>
          <w:rFonts w:ascii="Times New Roman" w:hAnsi="Times New Roman" w:eastAsia="Times New Roman" w:cs="Times New Roman"/>
          <w:color w:val="000000"/>
        </w:rPr>
        <w:t>P</w:t>
      </w:r>
      <w:r>
        <w:rPr>
          <w:rFonts w:ascii="宋体" w:hAnsi="宋体" w:eastAsia="宋体" w:cs="宋体"/>
          <w:color w:val="000000"/>
        </w:rPr>
        <w:t>循环，下列叙述正确的是（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3294C57">
      <w:pPr>
        <w:spacing w:line="360" w:lineRule="auto"/>
        <w:jc w:val="left"/>
        <w:textAlignment w:val="center"/>
        <w:rPr>
          <w:color w:val="000000"/>
        </w:rPr>
      </w:pPr>
      <w:r>
        <w:rPr>
          <w:color w:val="000000"/>
        </w:rPr>
        <w:t xml:space="preserve">A. </w:t>
      </w:r>
      <w:r>
        <w:rPr>
          <w:rFonts w:ascii="宋体" w:hAnsi="宋体" w:eastAsia="宋体" w:cs="宋体"/>
          <w:color w:val="000000"/>
        </w:rPr>
        <w:t>水中</w:t>
      </w:r>
      <w:r>
        <w:rPr>
          <w:rFonts w:ascii="Times New Roman" w:hAnsi="Times New Roman" w:eastAsia="Times New Roman" w:cs="Times New Roman"/>
          <w:color w:val="000000"/>
        </w:rPr>
        <w:t>P</w:t>
      </w:r>
      <w:r>
        <w:rPr>
          <w:rFonts w:ascii="宋体" w:hAnsi="宋体" w:eastAsia="宋体" w:cs="宋体"/>
          <w:color w:val="000000"/>
        </w:rPr>
        <w:t>沿食物链在生物体内聚集，最终积累在食物链顶端</w:t>
      </w:r>
    </w:p>
    <w:p w14:paraId="1F655995">
      <w:pPr>
        <w:spacing w:line="360" w:lineRule="auto"/>
        <w:jc w:val="left"/>
        <w:textAlignment w:val="center"/>
        <w:rPr>
          <w:color w:val="000000"/>
        </w:rPr>
      </w:pPr>
      <w:r>
        <w:rPr>
          <w:color w:val="000000"/>
        </w:rPr>
        <w:t xml:space="preserve">B. </w:t>
      </w:r>
      <w:r>
        <w:rPr>
          <w:rFonts w:ascii="宋体" w:hAnsi="宋体" w:eastAsia="宋体" w:cs="宋体"/>
          <w:color w:val="000000"/>
        </w:rPr>
        <w:t>定期清除底泥对减缓两种类型湖泊富营养化具有同等效果</w:t>
      </w:r>
    </w:p>
    <w:p w14:paraId="5799EA4C">
      <w:pPr>
        <w:spacing w:line="360" w:lineRule="auto"/>
        <w:jc w:val="left"/>
        <w:textAlignment w:val="center"/>
        <w:rPr>
          <w:color w:val="000000"/>
        </w:rPr>
      </w:pPr>
      <w:r>
        <w:rPr>
          <w:color w:val="000000"/>
        </w:rPr>
        <w:t xml:space="preserve">C. </w:t>
      </w:r>
      <w:r>
        <w:rPr>
          <w:rFonts w:ascii="宋体" w:hAnsi="宋体" w:eastAsia="宋体" w:cs="宋体"/>
          <w:color w:val="000000"/>
        </w:rPr>
        <w:t>减少外源</w:t>
      </w:r>
      <w:r>
        <w:rPr>
          <w:rFonts w:ascii="Times New Roman" w:hAnsi="Times New Roman" w:eastAsia="Times New Roman" w:cs="Times New Roman"/>
          <w:color w:val="000000"/>
        </w:rPr>
        <w:t>P</w:t>
      </w:r>
      <w:r>
        <w:rPr>
          <w:rFonts w:ascii="宋体" w:hAnsi="宋体" w:eastAsia="宋体" w:cs="宋体"/>
          <w:color w:val="000000"/>
        </w:rPr>
        <w:t>的输入是控制深水型湖泊富营养化的关键措施</w:t>
      </w:r>
    </w:p>
    <w:p w14:paraId="360ECCD2">
      <w:pPr>
        <w:spacing w:line="360" w:lineRule="auto"/>
        <w:jc w:val="left"/>
        <w:textAlignment w:val="center"/>
        <w:rPr>
          <w:color w:val="000000"/>
        </w:rPr>
      </w:pPr>
      <w:r>
        <w:rPr>
          <w:color w:val="000000"/>
        </w:rPr>
        <w:t xml:space="preserve">D. </w:t>
      </w:r>
      <w:r>
        <w:rPr>
          <w:rFonts w:ascii="宋体" w:hAnsi="宋体" w:eastAsia="宋体" w:cs="宋体"/>
          <w:color w:val="000000"/>
        </w:rPr>
        <w:t>相同条件下，浅水型湖泊比深水型湖泊更易发生富营养化</w:t>
      </w:r>
    </w:p>
    <w:p w14:paraId="414A0834">
      <w:pPr>
        <w:spacing w:line="360" w:lineRule="auto"/>
        <w:jc w:val="left"/>
        <w:textAlignment w:val="center"/>
        <w:rPr>
          <w:color w:val="000000"/>
        </w:rPr>
      </w:pPr>
      <w:r>
        <w:rPr>
          <w:color w:val="000000"/>
        </w:rPr>
        <w:t xml:space="preserve">18. </w:t>
      </w:r>
      <w:r>
        <w:rPr>
          <w:rFonts w:ascii="Times New Roman" w:hAnsi="Times New Roman" w:eastAsia="Times New Roman" w:cs="Times New Roman"/>
          <w:color w:val="000000"/>
        </w:rPr>
        <w:t>DNA</w:t>
      </w:r>
      <w:r>
        <w:rPr>
          <w:rFonts w:ascii="宋体" w:hAnsi="宋体" w:eastAsia="宋体" w:cs="宋体"/>
          <w:color w:val="000000"/>
        </w:rPr>
        <w:t>在细胞生命过程中会发生多种类型的损伤。如损伤较小，</w:t>
      </w:r>
      <w:r>
        <w:rPr>
          <w:rFonts w:ascii="Times New Roman" w:hAnsi="Times New Roman" w:eastAsia="Times New Roman" w:cs="Times New Roman"/>
          <w:color w:val="000000"/>
        </w:rPr>
        <w:t>RNA</w:t>
      </w:r>
      <w:r>
        <w:rPr>
          <w:rFonts w:ascii="宋体" w:hAnsi="宋体" w:eastAsia="宋体" w:cs="宋体"/>
          <w:color w:val="000000"/>
        </w:rPr>
        <w:t>聚合酶经过损伤位点时，腺嘌呤核糖核苷酸会不依赖于模板掺入</w:t>
      </w:r>
      <w:r>
        <w:rPr>
          <w:rFonts w:ascii="Times New Roman" w:hAnsi="Times New Roman" w:eastAsia="Times New Roman" w:cs="Times New Roman"/>
          <w:color w:val="000000"/>
        </w:rPr>
        <w:t>mRNA</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）；如损伤较大，修复因子</w:t>
      </w:r>
      <w:r>
        <w:rPr>
          <w:rFonts w:ascii="Times New Roman" w:hAnsi="Times New Roman" w:eastAsia="Times New Roman" w:cs="Times New Roman"/>
          <w:color w:val="000000"/>
        </w:rPr>
        <w:t>Mfd</w:t>
      </w:r>
      <w:r>
        <w:rPr>
          <w:rFonts w:ascii="宋体" w:hAnsi="宋体" w:eastAsia="宋体" w:cs="宋体"/>
          <w:color w:val="000000"/>
        </w:rPr>
        <w:t>识别、结合滞留的</w:t>
      </w:r>
      <w:r>
        <w:rPr>
          <w:rFonts w:ascii="Times New Roman" w:hAnsi="Times New Roman" w:eastAsia="Times New Roman" w:cs="Times New Roman"/>
          <w:color w:val="000000"/>
        </w:rPr>
        <w:t>RNA</w:t>
      </w:r>
      <w:r>
        <w:rPr>
          <w:rFonts w:ascii="宋体" w:hAnsi="宋体" w:eastAsia="宋体" w:cs="宋体"/>
          <w:color w:val="000000"/>
        </w:rPr>
        <w:t>聚合酶，“招募”多种修复因子、</w:t>
      </w:r>
      <w:r>
        <w:rPr>
          <w:rFonts w:ascii="Times New Roman" w:hAnsi="Times New Roman" w:eastAsia="Times New Roman" w:cs="Times New Roman"/>
          <w:color w:val="000000"/>
        </w:rPr>
        <w:t>DNA</w:t>
      </w:r>
      <w:r>
        <w:rPr>
          <w:rFonts w:ascii="宋体" w:hAnsi="宋体" w:eastAsia="宋体" w:cs="宋体"/>
          <w:color w:val="000000"/>
        </w:rPr>
        <w:t>聚合酶等进行修复（如图</w:t>
      </w:r>
      <w:r>
        <w:rPr>
          <w:rFonts w:ascii="Times New Roman" w:hAnsi="Times New Roman" w:eastAsia="Times New Roman" w:cs="Times New Roman"/>
          <w:color w:val="000000"/>
        </w:rPr>
        <w:t>2</w:t>
      </w:r>
      <w:r>
        <w:rPr>
          <w:rFonts w:ascii="宋体" w:hAnsi="宋体" w:eastAsia="宋体" w:cs="宋体"/>
          <w:color w:val="000000"/>
        </w:rPr>
        <w:t>）。下列叙述正确的是（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4A99B84">
      <w:pPr>
        <w:spacing w:line="360" w:lineRule="auto"/>
        <w:jc w:val="left"/>
        <w:textAlignment w:val="center"/>
        <w:rPr>
          <w:color w:val="000000"/>
        </w:rPr>
      </w:pPr>
      <w:r>
        <w:rPr>
          <w:color w:val="000000"/>
        </w:rPr>
        <w:drawing>
          <wp:inline distT="0" distB="0" distL="114300" distR="114300">
            <wp:extent cx="5238750" cy="276479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238750" cy="2765338"/>
                    </a:xfrm>
                    <a:prstGeom prst="rect">
                      <a:avLst/>
                    </a:prstGeom>
                  </pic:spPr>
                </pic:pic>
              </a:graphicData>
            </a:graphic>
          </wp:inline>
        </w:drawing>
      </w:r>
    </w:p>
    <w:p w14:paraId="075C9E46">
      <w:pPr>
        <w:spacing w:line="360" w:lineRule="auto"/>
        <w:jc w:val="left"/>
        <w:textAlignment w:val="center"/>
        <w:rPr>
          <w:color w:val="000000"/>
        </w:rPr>
      </w:pPr>
      <w:r>
        <w:rPr>
          <w:color w:val="000000"/>
        </w:rPr>
        <w:t xml:space="preserve">A. </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所示的</w:t>
      </w:r>
      <w:r>
        <w:rPr>
          <w:rFonts w:ascii="Times New Roman" w:hAnsi="Times New Roman" w:eastAsia="Times New Roman" w:cs="Times New Roman"/>
          <w:color w:val="000000"/>
        </w:rPr>
        <w:t>DNA</w:t>
      </w:r>
      <w:r>
        <w:rPr>
          <w:rFonts w:ascii="宋体" w:hAnsi="宋体" w:eastAsia="宋体" w:cs="宋体"/>
          <w:color w:val="000000"/>
        </w:rPr>
        <w:t>经复制后有半数子代</w:t>
      </w:r>
      <w:r>
        <w:rPr>
          <w:rFonts w:ascii="Times New Roman" w:hAnsi="Times New Roman" w:eastAsia="Times New Roman" w:cs="Times New Roman"/>
          <w:color w:val="000000"/>
        </w:rPr>
        <w:t>DNA</w:t>
      </w:r>
      <w:r>
        <w:rPr>
          <w:rFonts w:ascii="宋体" w:hAnsi="宋体" w:eastAsia="宋体" w:cs="宋体"/>
          <w:color w:val="000000"/>
        </w:rPr>
        <w:t>含该损伤导致的突变基因</w:t>
      </w:r>
    </w:p>
    <w:p w14:paraId="12A890DE">
      <w:pPr>
        <w:spacing w:line="360" w:lineRule="auto"/>
        <w:jc w:val="left"/>
        <w:textAlignment w:val="center"/>
        <w:rPr>
          <w:color w:val="000000"/>
        </w:rPr>
      </w:pPr>
      <w:r>
        <w:rPr>
          <w:color w:val="000000"/>
        </w:rPr>
        <w:t xml:space="preserve">B. </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所示转录产生的</w:t>
      </w:r>
      <w:r>
        <w:rPr>
          <w:rFonts w:ascii="Times New Roman" w:hAnsi="Times New Roman" w:eastAsia="Times New Roman" w:cs="Times New Roman"/>
          <w:color w:val="000000"/>
        </w:rPr>
        <w:t>mRNA</w:t>
      </w:r>
      <w:r>
        <w:rPr>
          <w:rFonts w:ascii="宋体" w:hAnsi="宋体" w:eastAsia="宋体" w:cs="宋体"/>
          <w:color w:val="000000"/>
        </w:rPr>
        <w:t>指导合成的蛋白质氨基酸序列可能不变</w:t>
      </w:r>
    </w:p>
    <w:p w14:paraId="33C6F91F">
      <w:pPr>
        <w:spacing w:line="360" w:lineRule="auto"/>
        <w:jc w:val="left"/>
        <w:textAlignment w:val="center"/>
        <w:rPr>
          <w:color w:val="000000"/>
        </w:rPr>
      </w:pPr>
      <w:r>
        <w:rPr>
          <w:color w:val="000000"/>
        </w:rPr>
        <w:t xml:space="preserve">C. </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所示的转录过程是沿着模板链的</w:t>
      </w:r>
      <w:r>
        <w:rPr>
          <w:rFonts w:ascii="Times New Roman" w:hAnsi="Times New Roman" w:eastAsia="Times New Roman" w:cs="Times New Roman"/>
          <w:color w:val="000000"/>
        </w:rPr>
        <w:t>5'</w:t>
      </w:r>
      <w:r>
        <w:rPr>
          <w:rFonts w:ascii="宋体" w:hAnsi="宋体" w:eastAsia="宋体" w:cs="宋体"/>
          <w:color w:val="000000"/>
        </w:rPr>
        <w:t>端到</w:t>
      </w:r>
      <w:r>
        <w:rPr>
          <w:rFonts w:ascii="Times New Roman" w:hAnsi="Times New Roman" w:eastAsia="Times New Roman" w:cs="Times New Roman"/>
          <w:color w:val="000000"/>
        </w:rPr>
        <w:t>3'</w:t>
      </w:r>
      <w:r>
        <w:rPr>
          <w:rFonts w:ascii="宋体" w:hAnsi="宋体" w:eastAsia="宋体" w:cs="宋体"/>
          <w:color w:val="000000"/>
        </w:rPr>
        <w:t>端进行的</w:t>
      </w:r>
    </w:p>
    <w:p w14:paraId="7763C246">
      <w:pPr>
        <w:spacing w:line="360" w:lineRule="auto"/>
        <w:jc w:val="left"/>
        <w:textAlignment w:val="center"/>
        <w:rPr>
          <w:color w:val="000000"/>
        </w:rPr>
      </w:pPr>
      <w:r>
        <w:rPr>
          <w:color w:val="000000"/>
        </w:rPr>
        <w:t xml:space="preserve">D. </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所示</w:t>
      </w:r>
      <w:r>
        <w:rPr>
          <w:rFonts w:ascii="宋体" w:hAnsi="宋体" w:eastAsia="宋体" w:cs="宋体"/>
          <w:color w:val="000000"/>
          <w:position w:val="0"/>
        </w:rPr>
        <w:drawing>
          <wp:inline distT="0" distB="0" distL="114300" distR="114300">
            <wp:extent cx="133350" cy="177800"/>
            <wp:effectExtent l="0" t="0" r="0" b="13335"/>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Times New Roman" w:hAnsi="Times New Roman" w:eastAsia="Times New Roman" w:cs="Times New Roman"/>
          <w:color w:val="000000"/>
        </w:rPr>
        <w:t>DNA</w:t>
      </w:r>
      <w:r>
        <w:rPr>
          <w:rFonts w:ascii="宋体" w:hAnsi="宋体" w:eastAsia="宋体" w:cs="宋体"/>
          <w:color w:val="000000"/>
        </w:rPr>
        <w:t>聚合酶催化</w:t>
      </w:r>
      <w:r>
        <w:rPr>
          <w:rFonts w:ascii="Times New Roman" w:hAnsi="Times New Roman" w:eastAsia="Times New Roman" w:cs="Times New Roman"/>
          <w:color w:val="000000"/>
        </w:rPr>
        <w:t>DNA</w:t>
      </w:r>
      <w:r>
        <w:rPr>
          <w:rFonts w:ascii="宋体" w:hAnsi="宋体" w:eastAsia="宋体" w:cs="宋体"/>
          <w:color w:val="000000"/>
        </w:rPr>
        <w:t>损伤链的修复，方向是从</w:t>
      </w:r>
      <w:r>
        <w:rPr>
          <w:rFonts w:ascii="Times New Roman" w:hAnsi="Times New Roman" w:eastAsia="Times New Roman" w:cs="Times New Roman"/>
          <w:color w:val="000000"/>
        </w:rPr>
        <w:t>n</w:t>
      </w:r>
      <w:r>
        <w:rPr>
          <w:rFonts w:ascii="宋体" w:hAnsi="宋体" w:eastAsia="宋体" w:cs="宋体"/>
          <w:color w:val="000000"/>
        </w:rPr>
        <w:t>到</w:t>
      </w:r>
      <w:r>
        <w:rPr>
          <w:rFonts w:ascii="Times New Roman" w:hAnsi="Times New Roman" w:eastAsia="Times New Roman" w:cs="Times New Roman"/>
          <w:color w:val="000000"/>
        </w:rPr>
        <w:t>m</w:t>
      </w:r>
    </w:p>
    <w:p w14:paraId="67005D81">
      <w:pPr>
        <w:spacing w:line="360" w:lineRule="auto"/>
        <w:jc w:val="left"/>
        <w:textAlignment w:val="center"/>
        <w:rPr>
          <w:color w:val="000000"/>
        </w:rPr>
      </w:pPr>
      <w:r>
        <w:rPr>
          <w:color w:val="000000"/>
        </w:rPr>
        <w:t xml:space="preserve">19. </w:t>
      </w:r>
      <w:r>
        <w:rPr>
          <w:rFonts w:ascii="宋体" w:hAnsi="宋体" w:eastAsia="宋体" w:cs="宋体"/>
          <w:color w:val="000000"/>
        </w:rPr>
        <w:t>基质金属蛋白酶</w:t>
      </w:r>
      <w:r>
        <w:rPr>
          <w:rFonts w:ascii="Times New Roman" w:hAnsi="Times New Roman" w:eastAsia="Times New Roman" w:cs="Times New Roman"/>
          <w:color w:val="000000"/>
        </w:rPr>
        <w:t>MMP2</w:t>
      </w:r>
      <w:r>
        <w:rPr>
          <w:rFonts w:ascii="宋体" w:hAnsi="宋体" w:eastAsia="宋体" w:cs="宋体"/>
          <w:color w:val="000000"/>
        </w:rPr>
        <w:t>和</w:t>
      </w:r>
      <w:r>
        <w:rPr>
          <w:rFonts w:ascii="Times New Roman" w:hAnsi="Times New Roman" w:eastAsia="Times New Roman" w:cs="Times New Roman"/>
          <w:color w:val="000000"/>
        </w:rPr>
        <w:t>MMP9</w:t>
      </w:r>
      <w:r>
        <w:rPr>
          <w:rFonts w:ascii="宋体" w:hAnsi="宋体" w:eastAsia="宋体" w:cs="宋体"/>
          <w:color w:val="000000"/>
        </w:rPr>
        <w:t>是癌细胞转移的关键酶。</w:t>
      </w:r>
      <w:r>
        <w:rPr>
          <w:rFonts w:ascii="Times New Roman" w:hAnsi="Times New Roman" w:eastAsia="Times New Roman" w:cs="Times New Roman"/>
          <w:color w:val="000000"/>
        </w:rPr>
        <w:t>MMP2</w:t>
      </w:r>
      <w:r>
        <w:rPr>
          <w:rFonts w:ascii="宋体" w:hAnsi="宋体" w:eastAsia="宋体" w:cs="宋体"/>
          <w:color w:val="000000"/>
        </w:rPr>
        <w:t>和</w:t>
      </w:r>
      <w:r>
        <w:rPr>
          <w:rFonts w:ascii="Times New Roman" w:hAnsi="Times New Roman" w:eastAsia="Times New Roman" w:cs="Times New Roman"/>
          <w:color w:val="000000"/>
        </w:rPr>
        <w:t>MMP9</w:t>
      </w:r>
      <w:r>
        <w:rPr>
          <w:rFonts w:ascii="宋体" w:hAnsi="宋体" w:eastAsia="宋体" w:cs="宋体"/>
          <w:color w:val="000000"/>
        </w:rPr>
        <w:t>可以降解明胶，明胶可被某染液染成蓝色，因此可以利用含有明胶的凝胶电泳检测这两种酶在不同条件下的活性。据下图分析，下列叙述正确的是（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9B7F839">
      <w:pPr>
        <w:spacing w:line="360" w:lineRule="auto"/>
        <w:jc w:val="left"/>
        <w:textAlignment w:val="center"/>
        <w:rPr>
          <w:color w:val="000000"/>
        </w:rPr>
      </w:pPr>
      <w:r>
        <w:rPr>
          <w:color w:val="000000"/>
        </w:rPr>
        <w:drawing>
          <wp:inline distT="0" distB="0" distL="114300" distR="114300">
            <wp:extent cx="3419475" cy="25146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419475" cy="2514600"/>
                    </a:xfrm>
                    <a:prstGeom prst="rect">
                      <a:avLst/>
                    </a:prstGeom>
                  </pic:spPr>
                </pic:pic>
              </a:graphicData>
            </a:graphic>
          </wp:inline>
        </w:drawing>
      </w:r>
      <w:r>
        <w:rPr>
          <w:color w:val="000000"/>
        </w:rPr>
        <w:t xml:space="preserve">  </w:t>
      </w:r>
    </w:p>
    <w:p w14:paraId="05BB0932">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SDS</w:t>
      </w:r>
      <w:r>
        <w:rPr>
          <w:rFonts w:ascii="宋体" w:hAnsi="宋体" w:eastAsia="宋体" w:cs="宋体"/>
          <w:color w:val="000000"/>
        </w:rPr>
        <w:t>可以提高</w:t>
      </w:r>
      <w:r>
        <w:rPr>
          <w:rFonts w:ascii="Times New Roman" w:hAnsi="Times New Roman" w:eastAsia="Times New Roman" w:cs="Times New Roman"/>
          <w:color w:val="000000"/>
        </w:rPr>
        <w:t>MMP2</w:t>
      </w:r>
      <w:r>
        <w:rPr>
          <w:rFonts w:ascii="宋体" w:hAnsi="宋体" w:eastAsia="宋体" w:cs="宋体"/>
          <w:color w:val="000000"/>
        </w:rPr>
        <w:t>和</w:t>
      </w:r>
      <w:r>
        <w:rPr>
          <w:rFonts w:ascii="Times New Roman" w:hAnsi="Times New Roman" w:eastAsia="Times New Roman" w:cs="Times New Roman"/>
          <w:color w:val="000000"/>
        </w:rPr>
        <w:t>MMP9</w:t>
      </w:r>
      <w:r>
        <w:rPr>
          <w:rFonts w:ascii="宋体" w:hAnsi="宋体" w:eastAsia="宋体" w:cs="宋体"/>
          <w:color w:val="000000"/>
        </w:rPr>
        <w:t>活性</w:t>
      </w:r>
    </w:p>
    <w:p w14:paraId="0F98FF70">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10</w:t>
      </w:r>
      <w:r>
        <w:rPr>
          <w:rFonts w:ascii="宋体" w:hAnsi="宋体" w:eastAsia="宋体" w:cs="宋体"/>
          <w:color w:val="000000"/>
        </w:rPr>
        <w:t>℃保温降低了</w:t>
      </w:r>
      <w:r>
        <w:rPr>
          <w:rFonts w:ascii="Times New Roman" w:hAnsi="Times New Roman" w:eastAsia="Times New Roman" w:cs="Times New Roman"/>
          <w:color w:val="000000"/>
        </w:rPr>
        <w:t>MMP2</w:t>
      </w:r>
      <w:r>
        <w:rPr>
          <w:rFonts w:ascii="宋体" w:hAnsi="宋体" w:eastAsia="宋体" w:cs="宋体"/>
          <w:color w:val="000000"/>
        </w:rPr>
        <w:t>和</w:t>
      </w:r>
      <w:r>
        <w:rPr>
          <w:rFonts w:ascii="Times New Roman" w:hAnsi="Times New Roman" w:eastAsia="Times New Roman" w:cs="Times New Roman"/>
          <w:color w:val="000000"/>
        </w:rPr>
        <w:t>MMP9</w:t>
      </w:r>
      <w:r>
        <w:rPr>
          <w:rFonts w:ascii="宋体" w:hAnsi="宋体" w:eastAsia="宋体" w:cs="宋体"/>
          <w:color w:val="000000"/>
        </w:rPr>
        <w:t>活性</w:t>
      </w:r>
    </w:p>
    <w:p w14:paraId="0D687E8F">
      <w:pPr>
        <w:spacing w:line="360" w:lineRule="auto"/>
        <w:jc w:val="left"/>
        <w:textAlignment w:val="center"/>
        <w:rPr>
          <w:color w:val="000000"/>
        </w:rPr>
      </w:pPr>
      <w:r>
        <w:rPr>
          <w:color w:val="000000"/>
        </w:rPr>
        <w:t xml:space="preserve">C. </w:t>
      </w:r>
      <w:r>
        <w:rPr>
          <w:rFonts w:ascii="宋体" w:hAnsi="宋体" w:eastAsia="宋体" w:cs="宋体"/>
          <w:color w:val="000000"/>
        </w:rPr>
        <w:t>缓冲液用于维持</w:t>
      </w:r>
      <w:r>
        <w:rPr>
          <w:rFonts w:ascii="Times New Roman" w:hAnsi="Times New Roman" w:eastAsia="Times New Roman" w:cs="Times New Roman"/>
          <w:color w:val="000000"/>
        </w:rPr>
        <w:t>MMP2</w:t>
      </w:r>
      <w:r>
        <w:rPr>
          <w:rFonts w:ascii="宋体" w:hAnsi="宋体" w:eastAsia="宋体" w:cs="宋体"/>
          <w:color w:val="000000"/>
        </w:rPr>
        <w:t>和</w:t>
      </w:r>
      <w:r>
        <w:rPr>
          <w:rFonts w:ascii="Times New Roman" w:hAnsi="Times New Roman" w:eastAsia="Times New Roman" w:cs="Times New Roman"/>
          <w:color w:val="000000"/>
        </w:rPr>
        <w:t>MMP9</w:t>
      </w:r>
      <w:r>
        <w:rPr>
          <w:rFonts w:ascii="宋体" w:hAnsi="宋体" w:eastAsia="宋体" w:cs="宋体"/>
          <w:color w:val="000000"/>
        </w:rPr>
        <w:t>活性</w:t>
      </w:r>
    </w:p>
    <w:p w14:paraId="35C52CB5">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MMP2</w:t>
      </w:r>
      <w:r>
        <w:rPr>
          <w:rFonts w:ascii="宋体" w:hAnsi="宋体" w:eastAsia="宋体" w:cs="宋体"/>
          <w:color w:val="000000"/>
        </w:rPr>
        <w:t>和</w:t>
      </w:r>
      <w:r>
        <w:rPr>
          <w:rFonts w:ascii="Times New Roman" w:hAnsi="Times New Roman" w:eastAsia="Times New Roman" w:cs="Times New Roman"/>
          <w:color w:val="000000"/>
        </w:rPr>
        <w:t>MMP9</w:t>
      </w:r>
      <w:r>
        <w:rPr>
          <w:rFonts w:ascii="宋体" w:hAnsi="宋体" w:eastAsia="宋体" w:cs="宋体"/>
          <w:color w:val="000000"/>
        </w:rPr>
        <w:t>降解明胶不具有专一性</w:t>
      </w:r>
    </w:p>
    <w:p w14:paraId="1141E29A">
      <w:pPr>
        <w:spacing w:line="360" w:lineRule="auto"/>
        <w:jc w:val="left"/>
        <w:textAlignment w:val="center"/>
        <w:rPr>
          <w:color w:val="000000"/>
        </w:rPr>
      </w:pPr>
      <w:r>
        <w:rPr>
          <w:color w:val="000000"/>
        </w:rPr>
        <w:t xml:space="preserve">20. </w:t>
      </w:r>
      <w:r>
        <w:rPr>
          <w:rFonts w:ascii="宋体" w:hAnsi="宋体" w:eastAsia="宋体" w:cs="宋体"/>
          <w:color w:val="000000"/>
        </w:rPr>
        <w:t>下面是某家族遗传病的系谱图，甲病由等位基因</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控制，乙病由等位基因</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控制，其中</w:t>
      </w:r>
      <w:r>
        <w:rPr>
          <w:rFonts w:ascii="Times New Roman" w:hAnsi="Times New Roman" w:eastAsia="Times New Roman" w:cs="Times New Roman"/>
          <w:color w:val="000000"/>
        </w:rPr>
        <w:t>II</w:t>
      </w:r>
      <w:r>
        <w:rPr>
          <w:color w:val="000000"/>
          <w:vertAlign w:val="subscript"/>
        </w:rPr>
        <w:t>2</w:t>
      </w:r>
      <w:r>
        <w:rPr>
          <w:rFonts w:ascii="宋体" w:hAnsi="宋体" w:eastAsia="宋体" w:cs="宋体"/>
          <w:color w:val="000000"/>
        </w:rPr>
        <w:t>不携带遗传病致病基因，所有个体均未发生突变。下列叙述正确的是（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B8C5AFE">
      <w:pPr>
        <w:spacing w:line="360" w:lineRule="auto"/>
        <w:jc w:val="left"/>
        <w:textAlignment w:val="center"/>
        <w:rPr>
          <w:color w:val="000000"/>
        </w:rPr>
      </w:pPr>
      <w:r>
        <w:rPr>
          <w:color w:val="000000"/>
        </w:rPr>
        <w:drawing>
          <wp:inline distT="0" distB="0" distL="114300" distR="114300">
            <wp:extent cx="5238750" cy="1325880"/>
            <wp:effectExtent l="0" t="0" r="0" b="762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238750" cy="1326407"/>
                    </a:xfrm>
                    <a:prstGeom prst="rect">
                      <a:avLst/>
                    </a:prstGeom>
                  </pic:spPr>
                </pic:pic>
              </a:graphicData>
            </a:graphic>
          </wp:inline>
        </w:drawing>
      </w:r>
      <w:r>
        <w:rPr>
          <w:color w:val="000000"/>
        </w:rPr>
        <w:t xml:space="preserve">  </w:t>
      </w:r>
    </w:p>
    <w:p w14:paraId="3B146C7C">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w:t>
      </w:r>
      <w:r>
        <w:rPr>
          <w:color w:val="000000"/>
          <w:vertAlign w:val="subscript"/>
        </w:rPr>
        <w:t>2</w:t>
      </w:r>
      <w:r>
        <w:rPr>
          <w:rFonts w:ascii="宋体" w:hAnsi="宋体" w:eastAsia="宋体" w:cs="宋体"/>
          <w:color w:val="000000"/>
        </w:rPr>
        <w:t>与Ⅲ</w:t>
      </w:r>
      <w:r>
        <w:rPr>
          <w:color w:val="000000"/>
          <w:vertAlign w:val="subscript"/>
        </w:rPr>
        <w:t>1</w:t>
      </w:r>
      <w:r>
        <w:rPr>
          <w:rFonts w:ascii="宋体" w:hAnsi="宋体" w:eastAsia="宋体" w:cs="宋体"/>
          <w:color w:val="000000"/>
        </w:rPr>
        <w:t>的基因型相同的概率是</w:t>
      </w:r>
      <w:r>
        <w:rPr>
          <w:rFonts w:ascii="Times New Roman" w:hAnsi="Times New Roman" w:eastAsia="Times New Roman" w:cs="Times New Roman"/>
          <w:color w:val="000000"/>
        </w:rPr>
        <w:t>1</w:t>
      </w:r>
    </w:p>
    <w:p w14:paraId="0A226757">
      <w:pPr>
        <w:spacing w:line="360" w:lineRule="auto"/>
        <w:jc w:val="left"/>
        <w:textAlignment w:val="center"/>
        <w:rPr>
          <w:color w:val="000000"/>
        </w:rPr>
      </w:pPr>
      <w:r>
        <w:rPr>
          <w:color w:val="000000"/>
        </w:rPr>
        <w:t xml:space="preserve">B. </w:t>
      </w:r>
      <w:r>
        <w:rPr>
          <w:rFonts w:ascii="宋体" w:hAnsi="宋体" w:eastAsia="宋体" w:cs="宋体"/>
          <w:color w:val="000000"/>
        </w:rPr>
        <w:t>Ⅲ</w:t>
      </w:r>
      <w:r>
        <w:rPr>
          <w:color w:val="000000"/>
          <w:vertAlign w:val="subscript"/>
        </w:rPr>
        <w:t>2</w:t>
      </w:r>
      <w:r>
        <w:rPr>
          <w:rFonts w:ascii="宋体" w:hAnsi="宋体" w:eastAsia="宋体" w:cs="宋体"/>
          <w:color w:val="000000"/>
        </w:rPr>
        <w:t>、Ⅲ</w:t>
      </w:r>
      <w:r>
        <w:rPr>
          <w:color w:val="000000"/>
          <w:vertAlign w:val="subscript"/>
        </w:rPr>
        <w:t>3</w:t>
      </w:r>
      <w:r>
        <w:rPr>
          <w:rFonts w:ascii="宋体" w:hAnsi="宋体" w:eastAsia="宋体" w:cs="宋体"/>
          <w:color w:val="000000"/>
        </w:rPr>
        <w:t>出现说明Ⅱ</w:t>
      </w:r>
      <w:r>
        <w:rPr>
          <w:color w:val="000000"/>
          <w:vertAlign w:val="subscript"/>
        </w:rPr>
        <w:t>1</w:t>
      </w:r>
      <w:r>
        <w:rPr>
          <w:rFonts w:ascii="宋体" w:hAnsi="宋体" w:eastAsia="宋体" w:cs="宋体"/>
          <w:color w:val="000000"/>
        </w:rPr>
        <w:t>形成配子时同源染色体的非姐妹染色单体间发生了交换</w:t>
      </w:r>
    </w:p>
    <w:p w14:paraId="11C7156B">
      <w:pPr>
        <w:spacing w:line="360" w:lineRule="auto"/>
        <w:jc w:val="left"/>
        <w:textAlignment w:val="center"/>
        <w:rPr>
          <w:color w:val="000000"/>
        </w:rPr>
      </w:pPr>
      <w:r>
        <w:rPr>
          <w:color w:val="000000"/>
        </w:rPr>
        <w:t xml:space="preserve">C. </w:t>
      </w:r>
      <w:r>
        <w:rPr>
          <w:rFonts w:ascii="宋体" w:hAnsi="宋体" w:eastAsia="宋体" w:cs="宋体"/>
          <w:color w:val="000000"/>
        </w:rPr>
        <w:t>Ⅱ</w:t>
      </w:r>
      <w:r>
        <w:rPr>
          <w:color w:val="000000"/>
          <w:vertAlign w:val="subscript"/>
        </w:rPr>
        <w:t>2</w:t>
      </w:r>
      <w:r>
        <w:rPr>
          <w:rFonts w:ascii="宋体" w:hAnsi="宋体" w:eastAsia="宋体" w:cs="宋体"/>
          <w:color w:val="000000"/>
        </w:rPr>
        <w:t>减数分裂后生成</w:t>
      </w:r>
      <w:r>
        <w:rPr>
          <w:rFonts w:ascii="Times New Roman" w:hAnsi="Times New Roman" w:eastAsia="Times New Roman" w:cs="Times New Roman"/>
          <w:color w:val="000000"/>
        </w:rPr>
        <w:t>AB</w:t>
      </w:r>
      <w:r>
        <w:rPr>
          <w:rFonts w:ascii="宋体" w:hAnsi="宋体" w:eastAsia="宋体" w:cs="宋体"/>
          <w:color w:val="000000"/>
        </w:rPr>
        <w:t>、</w:t>
      </w:r>
      <w:r>
        <w:rPr>
          <w:rFonts w:ascii="Times New Roman" w:hAnsi="Times New Roman" w:eastAsia="Times New Roman" w:cs="Times New Roman"/>
          <w:color w:val="000000"/>
        </w:rPr>
        <w:t>Ab</w:t>
      </w:r>
      <w:r>
        <w:rPr>
          <w:rFonts w:ascii="宋体" w:hAnsi="宋体" w:eastAsia="宋体" w:cs="宋体"/>
          <w:color w:val="000000"/>
        </w:rPr>
        <w:t>、</w:t>
      </w:r>
      <w:r>
        <w:rPr>
          <w:rFonts w:ascii="Times New Roman" w:hAnsi="Times New Roman" w:eastAsia="Times New Roman" w:cs="Times New Roman"/>
          <w:color w:val="000000"/>
        </w:rPr>
        <w:t>aB</w:t>
      </w:r>
      <w:r>
        <w:rPr>
          <w:rFonts w:ascii="宋体" w:hAnsi="宋体" w:eastAsia="宋体" w:cs="宋体"/>
          <w:color w:val="000000"/>
        </w:rPr>
        <w:t>、</w:t>
      </w:r>
      <w:r>
        <w:rPr>
          <w:rFonts w:ascii="Times New Roman" w:hAnsi="Times New Roman" w:eastAsia="Times New Roman" w:cs="Times New Roman"/>
          <w:color w:val="000000"/>
        </w:rPr>
        <w:t>ab</w:t>
      </w:r>
      <w:r>
        <w:rPr>
          <w:rFonts w:ascii="宋体" w:hAnsi="宋体" w:eastAsia="宋体" w:cs="宋体"/>
          <w:color w:val="000000"/>
        </w:rPr>
        <w:t>比例相等的四种配子</w:t>
      </w:r>
    </w:p>
    <w:p w14:paraId="3C17110F">
      <w:pPr>
        <w:spacing w:line="360" w:lineRule="auto"/>
        <w:jc w:val="left"/>
        <w:textAlignment w:val="center"/>
        <w:rPr>
          <w:color w:val="000000"/>
        </w:rPr>
      </w:pPr>
      <w:r>
        <w:rPr>
          <w:color w:val="000000"/>
        </w:rPr>
        <w:t xml:space="preserve">D. </w:t>
      </w:r>
      <w:r>
        <w:rPr>
          <w:rFonts w:ascii="宋体" w:hAnsi="宋体" w:eastAsia="宋体" w:cs="宋体"/>
          <w:color w:val="000000"/>
        </w:rPr>
        <w:t>若Ⅲ</w:t>
      </w:r>
      <w:r>
        <w:rPr>
          <w:color w:val="000000"/>
          <w:vertAlign w:val="subscript"/>
        </w:rPr>
        <w:t>5</w:t>
      </w:r>
      <w:r>
        <w:rPr>
          <w:rFonts w:ascii="宋体" w:hAnsi="宋体" w:eastAsia="宋体" w:cs="宋体"/>
          <w:color w:val="000000"/>
        </w:rPr>
        <w:t>与一个表型正常的男子结婚，儿子中表型正常的概率大于</w:t>
      </w:r>
      <w:r>
        <w:rPr>
          <w:rFonts w:ascii="Times New Roman" w:hAnsi="Times New Roman" w:eastAsia="Times New Roman" w:cs="Times New Roman"/>
          <w:color w:val="000000"/>
        </w:rPr>
        <w:t>1/2</w:t>
      </w:r>
    </w:p>
    <w:p w14:paraId="5BD2B7A6">
      <w:pPr>
        <w:spacing w:line="360" w:lineRule="auto"/>
        <w:jc w:val="left"/>
        <w:textAlignment w:val="center"/>
        <w:rPr>
          <w:color w:val="000000"/>
        </w:rPr>
      </w:pPr>
      <w:r>
        <w:rPr>
          <w:rFonts w:ascii="宋体" w:hAnsi="宋体" w:eastAsia="宋体" w:cs="宋体"/>
          <w:b/>
          <w:color w:val="000000"/>
          <w:sz w:val="24"/>
        </w:rPr>
        <w:t>三、非选择题：本题共</w:t>
      </w:r>
      <w:r>
        <w:rPr>
          <w:rFonts w:ascii="Times New Roman" w:hAnsi="Times New Roman" w:eastAsia="Times New Roman" w:cs="Times New Roman"/>
          <w:b/>
          <w:color w:val="000000"/>
          <w:sz w:val="24"/>
        </w:rPr>
        <w:t>5</w:t>
      </w:r>
      <w:r>
        <w:rPr>
          <w:rFonts w:ascii="宋体" w:hAnsi="宋体" w:eastAsia="宋体" w:cs="宋体"/>
          <w:b/>
          <w:color w:val="000000"/>
          <w:sz w:val="24"/>
        </w:rPr>
        <w:t>小题，共</w:t>
      </w:r>
      <w:r>
        <w:rPr>
          <w:rFonts w:ascii="Times New Roman" w:hAnsi="Times New Roman" w:eastAsia="Times New Roman" w:cs="Times New Roman"/>
          <w:b/>
          <w:color w:val="000000"/>
          <w:sz w:val="24"/>
        </w:rPr>
        <w:t>55</w:t>
      </w:r>
      <w:r>
        <w:rPr>
          <w:rFonts w:ascii="宋体" w:hAnsi="宋体" w:eastAsia="宋体" w:cs="宋体"/>
          <w:b/>
          <w:color w:val="000000"/>
          <w:sz w:val="24"/>
        </w:rPr>
        <w:t>分。</w:t>
      </w:r>
    </w:p>
    <w:p w14:paraId="52C65F6F">
      <w:pPr>
        <w:spacing w:line="360" w:lineRule="auto"/>
        <w:jc w:val="left"/>
        <w:textAlignment w:val="center"/>
        <w:rPr>
          <w:color w:val="000000"/>
        </w:rPr>
      </w:pPr>
      <w:r>
        <w:rPr>
          <w:color w:val="000000"/>
        </w:rPr>
        <w:t xml:space="preserve">21. </w:t>
      </w:r>
      <w:r>
        <w:rPr>
          <w:rFonts w:ascii="宋体" w:hAnsi="宋体" w:eastAsia="宋体" w:cs="宋体"/>
          <w:color w:val="000000"/>
        </w:rPr>
        <w:t>花生抗逆性强，部分品种可以在盐碱土区种植。下图是四个品种的花生在不同实验条件下的叶绿素含量相对值（</w:t>
      </w:r>
      <w:r>
        <w:rPr>
          <w:rFonts w:ascii="Times New Roman" w:hAnsi="Times New Roman" w:eastAsia="Times New Roman" w:cs="Times New Roman"/>
          <w:color w:val="000000"/>
        </w:rPr>
        <w:t>SPAD</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）和净光合速率（图</w:t>
      </w:r>
      <w:r>
        <w:rPr>
          <w:rFonts w:ascii="Times New Roman" w:hAnsi="Times New Roman" w:eastAsia="Times New Roman" w:cs="Times New Roman"/>
          <w:color w:val="000000"/>
        </w:rPr>
        <w:t>2</w:t>
      </w:r>
      <w:r>
        <w:rPr>
          <w:rFonts w:ascii="宋体" w:hAnsi="宋体" w:eastAsia="宋体" w:cs="宋体"/>
          <w:color w:val="000000"/>
        </w:rPr>
        <w:t>）。回答下列问题：</w:t>
      </w:r>
    </w:p>
    <w:p w14:paraId="426A736F">
      <w:pPr>
        <w:spacing w:line="360" w:lineRule="auto"/>
        <w:jc w:val="left"/>
        <w:textAlignment w:val="center"/>
        <w:rPr>
          <w:color w:val="000000"/>
        </w:rPr>
      </w:pPr>
      <w:r>
        <w:rPr>
          <w:color w:val="000000"/>
        </w:rPr>
        <w:drawing>
          <wp:inline distT="0" distB="0" distL="114300" distR="114300">
            <wp:extent cx="5095875" cy="319087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095875" cy="3190875"/>
                    </a:xfrm>
                    <a:prstGeom prst="rect">
                      <a:avLst/>
                    </a:prstGeom>
                  </pic:spPr>
                </pic:pic>
              </a:graphicData>
            </a:graphic>
          </wp:inline>
        </w:drawing>
      </w:r>
    </w:p>
    <w:p w14:paraId="41D2C784">
      <w:pPr>
        <w:spacing w:line="360" w:lineRule="auto"/>
        <w:jc w:val="left"/>
        <w:textAlignment w:val="center"/>
        <w:rPr>
          <w:color w:val="000000"/>
        </w:rPr>
      </w:pPr>
      <w:r>
        <w:rPr>
          <w:color w:val="000000"/>
        </w:rPr>
        <w:drawing>
          <wp:inline distT="0" distB="0" distL="114300" distR="114300">
            <wp:extent cx="5238750" cy="3420745"/>
            <wp:effectExtent l="0" t="0" r="0" b="825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5238750" cy="3421224"/>
                    </a:xfrm>
                    <a:prstGeom prst="rect">
                      <a:avLst/>
                    </a:prstGeom>
                  </pic:spPr>
                </pic:pic>
              </a:graphicData>
            </a:graphic>
          </wp:inline>
        </w:drawing>
      </w:r>
      <w:r>
        <w:rPr>
          <w:color w:val="000000"/>
        </w:rPr>
        <w:t xml:space="preserve">  </w:t>
      </w:r>
    </w:p>
    <w:p w14:paraId="30F6FB1F">
      <w:pPr>
        <w:spacing w:line="360" w:lineRule="auto"/>
        <w:jc w:val="left"/>
        <w:textAlignment w:val="center"/>
        <w:rPr>
          <w:color w:val="000000"/>
        </w:rPr>
      </w:pPr>
      <w:r>
        <w:rPr>
          <w:color w:val="000000"/>
        </w:rPr>
        <w:t>（1）</w:t>
      </w:r>
      <w:r>
        <w:rPr>
          <w:rFonts w:ascii="宋体" w:hAnsi="宋体" w:eastAsia="宋体" w:cs="宋体"/>
          <w:color w:val="000000"/>
        </w:rPr>
        <w:t>花生叶肉细胞中的叶绿素包括</w:t>
      </w:r>
      <w:r>
        <w:rPr>
          <w:color w:val="000000"/>
        </w:rPr>
        <w:t>_____</w:t>
      </w:r>
      <w:r>
        <w:rPr>
          <w:rFonts w:ascii="宋体" w:hAnsi="宋体" w:eastAsia="宋体" w:cs="宋体"/>
          <w:color w:val="000000"/>
        </w:rPr>
        <w:t>，主要吸收</w:t>
      </w:r>
      <w:r>
        <w:rPr>
          <w:color w:val="000000"/>
        </w:rPr>
        <w:t>_____</w:t>
      </w:r>
      <w:r>
        <w:rPr>
          <w:rFonts w:ascii="宋体" w:hAnsi="宋体" w:eastAsia="宋体" w:cs="宋体"/>
          <w:color w:val="000000"/>
        </w:rPr>
        <w:t>光，可用</w:t>
      </w:r>
      <w:r>
        <w:rPr>
          <w:color w:val="000000"/>
        </w:rPr>
        <w:t>_____</w:t>
      </w:r>
      <w:r>
        <w:rPr>
          <w:rFonts w:ascii="宋体" w:hAnsi="宋体" w:eastAsia="宋体" w:cs="宋体"/>
          <w:color w:val="000000"/>
        </w:rPr>
        <w:t>等有机溶剂从叶片中提取。</w:t>
      </w:r>
    </w:p>
    <w:p w14:paraId="1702C5A5">
      <w:pPr>
        <w:spacing w:line="360" w:lineRule="auto"/>
        <w:jc w:val="left"/>
        <w:textAlignment w:val="center"/>
        <w:rPr>
          <w:color w:val="000000"/>
        </w:rPr>
      </w:pPr>
      <w:r>
        <w:rPr>
          <w:color w:val="000000"/>
        </w:rPr>
        <w:t>（2）</w:t>
      </w:r>
      <w:r>
        <w:rPr>
          <w:rFonts w:ascii="宋体" w:hAnsi="宋体" w:eastAsia="宋体" w:cs="宋体"/>
          <w:color w:val="000000"/>
        </w:rPr>
        <w:t>盐添加量不同的条件下，叶绿素含量受影响最显著的品种是</w:t>
      </w:r>
      <w:r>
        <w:rPr>
          <w:color w:val="000000"/>
        </w:rPr>
        <w:t>_____</w:t>
      </w:r>
      <w:r>
        <w:rPr>
          <w:rFonts w:ascii="宋体" w:hAnsi="宋体" w:eastAsia="宋体" w:cs="宋体"/>
          <w:color w:val="000000"/>
        </w:rPr>
        <w:t>。</w:t>
      </w:r>
    </w:p>
    <w:p w14:paraId="4F093BA0">
      <w:pPr>
        <w:spacing w:line="360" w:lineRule="auto"/>
        <w:jc w:val="left"/>
        <w:textAlignment w:val="center"/>
        <w:rPr>
          <w:color w:val="000000"/>
        </w:rPr>
      </w:pPr>
      <w:r>
        <w:rPr>
          <w:color w:val="000000"/>
        </w:rPr>
        <w:t>（3）</w:t>
      </w:r>
      <w:r>
        <w:rPr>
          <w:rFonts w:ascii="宋体" w:hAnsi="宋体" w:eastAsia="宋体" w:cs="宋体"/>
          <w:color w:val="000000"/>
        </w:rPr>
        <w:t>在光照强度为</w:t>
      </w:r>
      <w:r>
        <w:rPr>
          <w:rFonts w:ascii="Times New Roman" w:hAnsi="Times New Roman" w:eastAsia="Times New Roman" w:cs="Times New Roman"/>
          <w:color w:val="000000"/>
        </w:rPr>
        <w:t>500μmol·m</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·s¹</w:t>
      </w:r>
      <w:r>
        <w:rPr>
          <w:rFonts w:ascii="宋体" w:hAnsi="宋体" w:eastAsia="宋体" w:cs="宋体"/>
          <w:color w:val="000000"/>
        </w:rPr>
        <w:t>、无</w:t>
      </w:r>
      <w:r>
        <w:rPr>
          <w:rFonts w:ascii="Times New Roman" w:hAnsi="Times New Roman" w:eastAsia="Times New Roman" w:cs="Times New Roman"/>
          <w:color w:val="000000"/>
        </w:rPr>
        <w:t>NaCl</w:t>
      </w:r>
      <w:r>
        <w:rPr>
          <w:rFonts w:ascii="宋体" w:hAnsi="宋体" w:eastAsia="宋体" w:cs="宋体"/>
          <w:color w:val="000000"/>
        </w:rPr>
        <w:t>添加的条件下，</w:t>
      </w:r>
      <w:r>
        <w:rPr>
          <w:rFonts w:ascii="Times New Roman" w:hAnsi="Times New Roman" w:eastAsia="Times New Roman" w:cs="Times New Roman"/>
          <w:color w:val="000000"/>
        </w:rPr>
        <w:t>LH12</w:t>
      </w:r>
      <w:r>
        <w:rPr>
          <w:rFonts w:ascii="宋体" w:hAnsi="宋体" w:eastAsia="宋体" w:cs="宋体"/>
          <w:color w:val="000000"/>
        </w:rPr>
        <w:t>的光合速率</w:t>
      </w:r>
      <w:r>
        <w:rPr>
          <w:color w:val="000000"/>
        </w:rPr>
        <w:t>_____</w:t>
      </w:r>
      <w:r>
        <w:rPr>
          <w:rFonts w:ascii="宋体" w:hAnsi="宋体" w:eastAsia="宋体" w:cs="宋体"/>
          <w:color w:val="000000"/>
        </w:rPr>
        <w:t>（填“大于”“等于”或“小于</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HH1</w:t>
      </w:r>
      <w:r>
        <w:rPr>
          <w:rFonts w:ascii="宋体" w:hAnsi="宋体" w:eastAsia="宋体" w:cs="宋体"/>
          <w:color w:val="000000"/>
        </w:rPr>
        <w:t>的光合速率，判断的依据是</w:t>
      </w:r>
      <w:r>
        <w:rPr>
          <w:color w:val="000000"/>
        </w:rPr>
        <w:t>_____</w:t>
      </w:r>
      <w:r>
        <w:rPr>
          <w:rFonts w:ascii="宋体" w:hAnsi="宋体" w:eastAsia="宋体" w:cs="宋体"/>
          <w:color w:val="000000"/>
        </w:rPr>
        <w:t>。在光照强度为</w:t>
      </w:r>
      <w:r>
        <w:rPr>
          <w:rFonts w:ascii="Times New Roman" w:hAnsi="Times New Roman" w:eastAsia="Times New Roman" w:cs="Times New Roman"/>
          <w:color w:val="000000"/>
        </w:rPr>
        <w:t>1500μmolm</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perscript"/>
        </w:rPr>
        <w:t>-1</w:t>
      </w:r>
      <w:r>
        <w:rPr>
          <w:rFonts w:ascii="宋体" w:hAnsi="宋体" w:eastAsia="宋体" w:cs="宋体"/>
          <w:color w:val="000000"/>
        </w:rPr>
        <w:t>、</w:t>
      </w:r>
      <w:r>
        <w:rPr>
          <w:rFonts w:ascii="Times New Roman" w:hAnsi="Times New Roman" w:eastAsia="Times New Roman" w:cs="Times New Roman"/>
          <w:color w:val="000000"/>
        </w:rPr>
        <w:t>NaCl</w:t>
      </w:r>
      <w:r>
        <w:rPr>
          <w:rFonts w:ascii="宋体" w:hAnsi="宋体" w:eastAsia="宋体" w:cs="宋体"/>
          <w:color w:val="000000"/>
        </w:rPr>
        <w:t>添加量为</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0g·kg¹</w:t>
      </w:r>
      <w:r>
        <w:rPr>
          <w:rFonts w:ascii="宋体" w:hAnsi="宋体" w:eastAsia="宋体" w:cs="宋体"/>
          <w:color w:val="000000"/>
        </w:rPr>
        <w:t>的条件下，</w:t>
      </w:r>
      <w:r>
        <w:rPr>
          <w:rFonts w:ascii="Times New Roman" w:hAnsi="Times New Roman" w:eastAsia="Times New Roman" w:cs="Times New Roman"/>
          <w:color w:val="000000"/>
        </w:rPr>
        <w:t>HY25</w:t>
      </w:r>
      <w:r>
        <w:rPr>
          <w:rFonts w:ascii="宋体" w:hAnsi="宋体" w:eastAsia="宋体" w:cs="宋体"/>
          <w:color w:val="000000"/>
        </w:rPr>
        <w:t>的净光合速率大于其他三个品种的净光合速率，原因可能是</w:t>
      </w:r>
      <w:r>
        <w:rPr>
          <w:rFonts w:ascii="Times New Roman" w:hAnsi="Times New Roman" w:eastAsia="Times New Roman" w:cs="Times New Roman"/>
          <w:color w:val="000000"/>
        </w:rPr>
        <w:t>HY25</w:t>
      </w:r>
      <w:r>
        <w:rPr>
          <w:rFonts w:ascii="宋体" w:hAnsi="宋体" w:eastAsia="宋体" w:cs="宋体"/>
          <w:color w:val="000000"/>
        </w:rPr>
        <w:t>的</w:t>
      </w:r>
      <w:r>
        <w:rPr>
          <w:color w:val="000000"/>
        </w:rPr>
        <w:t>_____</w:t>
      </w:r>
      <w:r>
        <w:rPr>
          <w:rFonts w:ascii="宋体" w:hAnsi="宋体" w:eastAsia="宋体" w:cs="宋体"/>
          <w:color w:val="000000"/>
        </w:rPr>
        <w:t>含量高，光反应生成更多的</w:t>
      </w:r>
      <w:r>
        <w:rPr>
          <w:color w:val="000000"/>
        </w:rPr>
        <w:t>_____</w:t>
      </w:r>
      <w:r>
        <w:rPr>
          <w:rFonts w:ascii="宋体" w:hAnsi="宋体" w:eastAsia="宋体" w:cs="宋体"/>
          <w:color w:val="000000"/>
        </w:rPr>
        <w:t>，促进了暗反应进行。</w:t>
      </w:r>
    </w:p>
    <w:p w14:paraId="26D4AA70">
      <w:pPr>
        <w:spacing w:line="360" w:lineRule="auto"/>
        <w:jc w:val="left"/>
        <w:textAlignment w:val="center"/>
        <w:rPr>
          <w:color w:val="000000"/>
        </w:rPr>
      </w:pPr>
      <w:r>
        <w:rPr>
          <w:color w:val="000000"/>
        </w:rPr>
        <w:t>（4）</w:t>
      </w:r>
      <w:r>
        <w:rPr>
          <w:rFonts w:ascii="宋体" w:hAnsi="宋体" w:eastAsia="宋体" w:cs="宋体"/>
          <w:color w:val="000000"/>
        </w:rPr>
        <w:t>依据图</w:t>
      </w:r>
      <w:r>
        <w:rPr>
          <w:rFonts w:ascii="Times New Roman" w:hAnsi="Times New Roman" w:eastAsia="Times New Roman" w:cs="Times New Roman"/>
          <w:color w:val="000000"/>
        </w:rPr>
        <w:t>2</w:t>
      </w:r>
      <w:r>
        <w:rPr>
          <w:rFonts w:ascii="宋体" w:hAnsi="宋体" w:eastAsia="宋体" w:cs="宋体"/>
          <w:color w:val="000000"/>
        </w:rPr>
        <w:t>，在中盐（</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0g·kg</w:t>
      </w:r>
      <w:r>
        <w:rPr>
          <w:rFonts w:ascii="Times New Roman" w:hAnsi="Times New Roman" w:eastAsia="Times New Roman" w:cs="Times New Roman"/>
          <w:color w:val="000000"/>
          <w:vertAlign w:val="superscript"/>
        </w:rPr>
        <w:t>-1</w:t>
      </w:r>
      <w:r>
        <w:rPr>
          <w:rFonts w:ascii="宋体" w:hAnsi="宋体" w:eastAsia="宋体" w:cs="宋体"/>
          <w:color w:val="000000"/>
        </w:rPr>
        <w:t>）土区适宜选择种植</w:t>
      </w:r>
      <w:r>
        <w:rPr>
          <w:color w:val="000000"/>
        </w:rPr>
        <w:t>_____</w:t>
      </w:r>
      <w:r>
        <w:rPr>
          <w:rFonts w:ascii="宋体" w:hAnsi="宋体" w:eastAsia="宋体" w:cs="宋体"/>
          <w:color w:val="000000"/>
        </w:rPr>
        <w:t>品种。</w:t>
      </w:r>
    </w:p>
    <w:p w14:paraId="4FAAC87E">
      <w:pPr>
        <w:spacing w:line="360" w:lineRule="auto"/>
        <w:jc w:val="left"/>
        <w:textAlignment w:val="center"/>
        <w:rPr>
          <w:color w:val="000000"/>
        </w:rPr>
      </w:pPr>
      <w:r>
        <w:rPr>
          <w:color w:val="000000"/>
        </w:rPr>
        <w:t xml:space="preserve">22. </w:t>
      </w:r>
      <w:r>
        <w:rPr>
          <w:rFonts w:ascii="宋体" w:hAnsi="宋体" w:eastAsia="宋体" w:cs="宋体"/>
          <w:color w:val="000000"/>
        </w:rPr>
        <w:t>随着人类星际旅行计划的推进，如何降低乘员代谢率以减少飞船负载是关键问题之一、动物的冬眠为人类低代谢的研究提供了重要参考。图</w:t>
      </w:r>
      <w:r>
        <w:rPr>
          <w:rFonts w:ascii="Times New Roman" w:hAnsi="Times New Roman" w:eastAsia="Times New Roman" w:cs="Times New Roman"/>
          <w:color w:val="000000"/>
        </w:rPr>
        <w:t>1</w:t>
      </w:r>
      <w:r>
        <w:rPr>
          <w:rFonts w:ascii="宋体" w:hAnsi="宋体" w:eastAsia="宋体" w:cs="宋体"/>
          <w:color w:val="000000"/>
        </w:rPr>
        <w:t>显示某储脂类哺乳动物的整个冬眠过程包含多个冬眠阵。每个冬眠阵由入眠、深冬眠、激醒和阵间觉醒四个阶段组成，其体温和代谢率变化如图</w:t>
      </w:r>
      <w:r>
        <w:rPr>
          <w:rFonts w:ascii="Times New Roman" w:hAnsi="Times New Roman" w:eastAsia="Times New Roman" w:cs="Times New Roman"/>
          <w:color w:val="000000"/>
        </w:rPr>
        <w:t>2</w:t>
      </w:r>
      <w:r>
        <w:rPr>
          <w:rFonts w:ascii="宋体" w:hAnsi="宋体" w:eastAsia="宋体" w:cs="宋体"/>
          <w:color w:val="000000"/>
        </w:rPr>
        <w:t>回答下列问题：</w:t>
      </w:r>
    </w:p>
    <w:p w14:paraId="7B23740E">
      <w:pPr>
        <w:spacing w:line="360" w:lineRule="auto"/>
        <w:jc w:val="left"/>
        <w:textAlignment w:val="center"/>
        <w:rPr>
          <w:color w:val="000000"/>
        </w:rPr>
      </w:pPr>
      <w:r>
        <w:rPr>
          <w:color w:val="000000"/>
        </w:rPr>
        <w:drawing>
          <wp:inline distT="0" distB="0" distL="114300" distR="114300">
            <wp:extent cx="5238750" cy="17907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238750" cy="1790700"/>
                    </a:xfrm>
                    <a:prstGeom prst="rect">
                      <a:avLst/>
                    </a:prstGeom>
                  </pic:spPr>
                </pic:pic>
              </a:graphicData>
            </a:graphic>
          </wp:inline>
        </w:drawing>
      </w:r>
      <w:r>
        <w:rPr>
          <w:rFonts w:ascii="Times New Roman" w:hAnsi="Times New Roman" w:eastAsia="Times New Roman" w:cs="Times New Roman"/>
          <w:color w:val="000000"/>
        </w:rPr>
        <w:t xml:space="preserve">  </w:t>
      </w:r>
    </w:p>
    <w:p w14:paraId="6DE629A7">
      <w:pPr>
        <w:spacing w:line="360" w:lineRule="auto"/>
        <w:jc w:val="left"/>
        <w:textAlignment w:val="center"/>
        <w:rPr>
          <w:color w:val="000000"/>
        </w:rPr>
      </w:pPr>
      <w:r>
        <w:rPr>
          <w:color w:val="000000"/>
        </w:rPr>
        <w:drawing>
          <wp:inline distT="0" distB="0" distL="114300" distR="114300">
            <wp:extent cx="5172075" cy="271462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172075" cy="2714625"/>
                    </a:xfrm>
                    <a:prstGeom prst="rect">
                      <a:avLst/>
                    </a:prstGeom>
                  </pic:spPr>
                </pic:pic>
              </a:graphicData>
            </a:graphic>
          </wp:inline>
        </w:drawing>
      </w:r>
    </w:p>
    <w:p w14:paraId="0F74D640">
      <w:pPr>
        <w:spacing w:line="360" w:lineRule="auto"/>
        <w:jc w:val="left"/>
        <w:textAlignment w:val="center"/>
        <w:rPr>
          <w:color w:val="000000"/>
        </w:rPr>
      </w:pPr>
      <w:r>
        <w:rPr>
          <w:color w:val="000000"/>
        </w:rPr>
        <w:t>（1）</w:t>
      </w:r>
      <w:r>
        <w:rPr>
          <w:rFonts w:ascii="宋体" w:hAnsi="宋体" w:eastAsia="宋体" w:cs="宋体"/>
          <w:color w:val="000000"/>
        </w:rPr>
        <w:t>入眠阶段该动物体温逐渐</w:t>
      </w:r>
      <w:r>
        <w:rPr>
          <w:color w:val="000000"/>
        </w:rPr>
        <w:t>_____</w:t>
      </w:r>
      <w:r>
        <w:rPr>
          <w:rFonts w:ascii="宋体" w:hAnsi="宋体" w:eastAsia="宋体" w:cs="宋体"/>
          <w:color w:val="000000"/>
        </w:rPr>
        <w:t>，呼吸频率会发生相应变化，调控呼吸频率的中枢位于</w:t>
      </w:r>
      <w:r>
        <w:rPr>
          <w:color w:val="000000"/>
        </w:rPr>
        <w:t>_____</w:t>
      </w:r>
      <w:r>
        <w:rPr>
          <w:rFonts w:ascii="宋体" w:hAnsi="宋体" w:eastAsia="宋体" w:cs="宋体"/>
          <w:color w:val="000000"/>
        </w:rPr>
        <w:t>。进入深冬眠阶段后该动物维持</w:t>
      </w:r>
      <w:r>
        <w:rPr>
          <w:color w:val="000000"/>
        </w:rPr>
        <w:t>_____</w:t>
      </w:r>
      <w:r>
        <w:rPr>
          <w:rFonts w:ascii="宋体" w:hAnsi="宋体" w:eastAsia="宋体" w:cs="宋体"/>
          <w:color w:val="000000"/>
        </w:rPr>
        <w:t>，以减少有机物的消耗。</w:t>
      </w:r>
    </w:p>
    <w:p w14:paraId="5A1B04DE">
      <w:pPr>
        <w:spacing w:line="360" w:lineRule="auto"/>
        <w:jc w:val="left"/>
        <w:textAlignment w:val="center"/>
        <w:rPr>
          <w:color w:val="000000"/>
        </w:rPr>
      </w:pPr>
      <w:r>
        <w:rPr>
          <w:color w:val="000000"/>
        </w:rPr>
        <w:t>（2）</w:t>
      </w:r>
      <w:r>
        <w:rPr>
          <w:rFonts w:ascii="宋体" w:hAnsi="宋体" w:eastAsia="宋体" w:cs="宋体"/>
          <w:color w:val="000000"/>
        </w:rPr>
        <w:t>在激醒过程中，从中枢神经系统的</w:t>
      </w:r>
      <w:r>
        <w:rPr>
          <w:color w:val="000000"/>
        </w:rPr>
        <w:t>_____</w:t>
      </w:r>
      <w:r>
        <w:rPr>
          <w:rFonts w:ascii="宋体" w:hAnsi="宋体" w:eastAsia="宋体" w:cs="宋体"/>
          <w:color w:val="000000"/>
        </w:rPr>
        <w:t>发出的交感神经兴奋，使机体产热增加，体温迅速回升。</w:t>
      </w:r>
    </w:p>
    <w:p w14:paraId="6BCEE6DF">
      <w:pPr>
        <w:spacing w:line="360" w:lineRule="auto"/>
        <w:jc w:val="left"/>
        <w:textAlignment w:val="center"/>
        <w:rPr>
          <w:color w:val="000000"/>
        </w:rPr>
      </w:pPr>
      <w:r>
        <w:rPr>
          <w:color w:val="000000"/>
        </w:rPr>
        <w:t>（3）</w:t>
      </w:r>
      <w:r>
        <w:rPr>
          <w:rFonts w:ascii="宋体" w:hAnsi="宋体" w:eastAsia="宋体" w:cs="宋体"/>
          <w:color w:val="000000"/>
        </w:rPr>
        <w:t>该动物在阵间觉醒阶段会排尿，排尿是在高级中枢调控下由低级中枢发出的传出神经兴奋使膀胱缩小完成的，这种调节方式属于</w:t>
      </w:r>
      <w:r>
        <w:rPr>
          <w:color w:val="000000"/>
        </w:rPr>
        <w:t>_____</w:t>
      </w:r>
      <w:r>
        <w:rPr>
          <w:rFonts w:ascii="宋体" w:hAnsi="宋体" w:eastAsia="宋体" w:cs="宋体"/>
          <w:color w:val="000000"/>
        </w:rPr>
        <w:t>调节。该动物冬眠季节不进食、不饮水，主要通过分解体内的</w:t>
      </w:r>
      <w:r>
        <w:rPr>
          <w:color w:val="000000"/>
        </w:rPr>
        <w:t>_____</w:t>
      </w:r>
      <w:r>
        <w:rPr>
          <w:rFonts w:ascii="宋体" w:hAnsi="宋体" w:eastAsia="宋体" w:cs="宋体"/>
          <w:color w:val="000000"/>
        </w:rPr>
        <w:t>产生水。</w:t>
      </w:r>
    </w:p>
    <w:p w14:paraId="6BAFBF7E">
      <w:pPr>
        <w:spacing w:line="360" w:lineRule="auto"/>
        <w:jc w:val="left"/>
        <w:textAlignment w:val="center"/>
        <w:rPr>
          <w:color w:val="000000"/>
        </w:rPr>
      </w:pPr>
      <w:r>
        <w:rPr>
          <w:color w:val="000000"/>
        </w:rPr>
        <w:t>（4）</w:t>
      </w:r>
      <w:r>
        <w:rPr>
          <w:rFonts w:ascii="宋体" w:hAnsi="宋体" w:eastAsia="宋体" w:cs="宋体"/>
          <w:color w:val="000000"/>
        </w:rPr>
        <w:t>低温不能诱发非冬眠动物冬眠，但利用某种物质可诱导出猕猴等动物的低代谢状态，其机制是激活了下丘脑的特定神经元。据此推测，研究人体低代谢调节机制的关键是要找到</w:t>
      </w:r>
      <w:r>
        <w:rPr>
          <w:color w:val="000000"/>
        </w:rPr>
        <w:t>_____</w:t>
      </w:r>
      <w:r>
        <w:rPr>
          <w:rFonts w:ascii="宋体" w:hAnsi="宋体" w:eastAsia="宋体" w:cs="宋体"/>
          <w:color w:val="000000"/>
        </w:rPr>
        <w:t>和</w:t>
      </w:r>
      <w:r>
        <w:rPr>
          <w:color w:val="000000"/>
        </w:rPr>
        <w:t>_____</w:t>
      </w:r>
      <w:r>
        <w:rPr>
          <w:rFonts w:ascii="宋体" w:hAnsi="宋体" w:eastAsia="宋体" w:cs="宋体"/>
          <w:color w:val="000000"/>
        </w:rPr>
        <w:t>，并保证“星际旅行休眠人”能够及时</w:t>
      </w:r>
      <w:r>
        <w:rPr>
          <w:color w:val="000000"/>
        </w:rPr>
        <w:t>__________</w:t>
      </w:r>
      <w:r>
        <w:rPr>
          <w:rFonts w:ascii="宋体" w:hAnsi="宋体" w:eastAsia="宋体" w:cs="宋体"/>
          <w:color w:val="000000"/>
        </w:rPr>
        <w:t>。</w:t>
      </w:r>
    </w:p>
    <w:p w14:paraId="73AEFC31">
      <w:pPr>
        <w:spacing w:line="360" w:lineRule="auto"/>
        <w:jc w:val="left"/>
        <w:textAlignment w:val="center"/>
        <w:rPr>
          <w:color w:val="000000"/>
        </w:rPr>
      </w:pPr>
      <w:r>
        <w:rPr>
          <w:color w:val="000000"/>
        </w:rPr>
        <w:t xml:space="preserve">23. </w:t>
      </w:r>
      <w:r>
        <w:rPr>
          <w:rFonts w:ascii="宋体" w:hAnsi="宋体" w:eastAsia="宋体" w:cs="宋体"/>
          <w:color w:val="000000"/>
        </w:rPr>
        <w:t>迁徙鸟类与地球上不同生态系统、当地生物多样性和人类文化的时空关联，诠释了“地球生命共同体”的理念。辽东半岛滨海湿地资源丰富，是东亚</w:t>
      </w:r>
      <w:r>
        <w:rPr>
          <w:rFonts w:ascii="Times New Roman" w:hAnsi="Times New Roman" w:eastAsia="Times New Roman" w:cs="Times New Roman"/>
          <w:color w:val="000000"/>
        </w:rPr>
        <w:t>—</w:t>
      </w:r>
      <w:r>
        <w:rPr>
          <w:rFonts w:ascii="宋体" w:hAnsi="宋体" w:eastAsia="宋体" w:cs="宋体"/>
          <w:color w:val="000000"/>
        </w:rPr>
        <w:t>澳大利西亚水鸟迁徙通道中鸟类的重要停歇、觅食地，对保护生物多样性具有全球性的重要意义。回答下列问题：</w:t>
      </w:r>
    </w:p>
    <w:p w14:paraId="778C1A7F">
      <w:pPr>
        <w:spacing w:line="360" w:lineRule="auto"/>
        <w:jc w:val="left"/>
        <w:textAlignment w:val="center"/>
        <w:rPr>
          <w:color w:val="000000"/>
        </w:rPr>
      </w:pPr>
      <w:r>
        <w:rPr>
          <w:color w:val="000000"/>
        </w:rPr>
        <w:t>（1）</w:t>
      </w:r>
      <w:r>
        <w:rPr>
          <w:rFonts w:ascii="宋体" w:hAnsi="宋体" w:eastAsia="宋体" w:cs="宋体"/>
          <w:color w:val="000000"/>
        </w:rPr>
        <w:t>迁徙鸟类对迁徙途中停歇、觅食地生态系统的结构和功能产生影响，生态系统的基本功能是</w:t>
      </w:r>
      <w:r>
        <w:rPr>
          <w:color w:val="000000"/>
        </w:rPr>
        <w:t>_____</w:t>
      </w:r>
      <w:r>
        <w:rPr>
          <w:rFonts w:ascii="宋体" w:hAnsi="宋体" w:eastAsia="宋体" w:cs="宋体"/>
          <w:color w:val="000000"/>
        </w:rPr>
        <w:t>、</w:t>
      </w:r>
      <w:r>
        <w:rPr>
          <w:color w:val="000000"/>
        </w:rPr>
        <w:t>_____</w:t>
      </w:r>
      <w:r>
        <w:rPr>
          <w:rFonts w:ascii="宋体" w:hAnsi="宋体" w:eastAsia="宋体" w:cs="宋体"/>
          <w:color w:val="000000"/>
        </w:rPr>
        <w:t>和</w:t>
      </w:r>
      <w:r>
        <w:rPr>
          <w:color w:val="000000"/>
        </w:rPr>
        <w:t>_____</w:t>
      </w:r>
      <w:r>
        <w:rPr>
          <w:rFonts w:ascii="宋体" w:hAnsi="宋体" w:eastAsia="宋体" w:cs="宋体"/>
          <w:color w:val="000000"/>
        </w:rPr>
        <w:t>。</w:t>
      </w:r>
    </w:p>
    <w:p w14:paraId="48D0EF95">
      <w:pPr>
        <w:spacing w:line="360" w:lineRule="auto"/>
        <w:jc w:val="left"/>
        <w:textAlignment w:val="center"/>
        <w:rPr>
          <w:color w:val="000000"/>
        </w:rPr>
      </w:pPr>
      <w:r>
        <w:rPr>
          <w:color w:val="000000"/>
        </w:rPr>
        <w:t>（2）</w:t>
      </w:r>
      <w:r>
        <w:rPr>
          <w:rFonts w:ascii="宋体" w:hAnsi="宋体" w:eastAsia="宋体" w:cs="宋体"/>
          <w:color w:val="000000"/>
        </w:rPr>
        <w:t>每年春季，数量巨大</w:t>
      </w:r>
      <w:r>
        <w:rPr>
          <w:rFonts w:ascii="宋体" w:hAnsi="宋体" w:eastAsia="宋体" w:cs="宋体"/>
          <w:color w:val="000000"/>
          <w:position w:val="0"/>
        </w:rPr>
        <w:drawing>
          <wp:inline distT="0" distB="0" distL="114300" distR="114300">
            <wp:extent cx="133350" cy="177800"/>
            <wp:effectExtent l="0" t="0" r="0" b="13335"/>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迁徙水鸟在辽宁滨海湿地停歇、觅食，形成“鸟浪”奇观。此时，该地生物群落体现出明显的</w:t>
      </w:r>
      <w:r>
        <w:rPr>
          <w:color w:val="000000"/>
        </w:rPr>
        <w:t>_____</w:t>
      </w:r>
      <w:r>
        <w:rPr>
          <w:rFonts w:ascii="宋体" w:hAnsi="宋体" w:eastAsia="宋体" w:cs="宋体"/>
          <w:color w:val="000000"/>
        </w:rPr>
        <w:t>变化。决定该地生物群落性质最重要的因素是</w:t>
      </w:r>
      <w:r>
        <w:rPr>
          <w:color w:val="000000"/>
        </w:rPr>
        <w:t>_____</w:t>
      </w:r>
      <w:r>
        <w:rPr>
          <w:rFonts w:ascii="宋体" w:hAnsi="宋体" w:eastAsia="宋体" w:cs="宋体"/>
          <w:color w:val="000000"/>
        </w:rPr>
        <w:t>。</w:t>
      </w:r>
    </w:p>
    <w:p w14:paraId="4CE7735A">
      <w:pPr>
        <w:spacing w:line="360" w:lineRule="auto"/>
        <w:jc w:val="left"/>
        <w:textAlignment w:val="center"/>
        <w:rPr>
          <w:color w:val="000000"/>
        </w:rPr>
      </w:pPr>
      <w:r>
        <w:rPr>
          <w:color w:val="000000"/>
        </w:rPr>
        <w:t>（3）</w:t>
      </w:r>
      <w:r>
        <w:rPr>
          <w:rFonts w:ascii="宋体" w:hAnsi="宋体" w:eastAsia="宋体" w:cs="宋体"/>
          <w:color w:val="000000"/>
        </w:rPr>
        <w:t>该地区迁徙水鸟还停歇、觅食于由自然滩涂改造形成的水田和养殖塘等人工环境，这说明保护迁徙的候鸟，并不意味禁止</w:t>
      </w:r>
      <w:r>
        <w:rPr>
          <w:color w:val="000000"/>
        </w:rPr>
        <w:t>_____</w:t>
      </w:r>
      <w:r>
        <w:rPr>
          <w:rFonts w:ascii="宋体" w:hAnsi="宋体" w:eastAsia="宋体" w:cs="宋体"/>
          <w:color w:val="000000"/>
        </w:rPr>
        <w:t>自然滩涂，适度的人类生产活动会</w:t>
      </w:r>
      <w:r>
        <w:rPr>
          <w:color w:val="000000"/>
        </w:rPr>
        <w:t>_____</w:t>
      </w:r>
      <w:r>
        <w:rPr>
          <w:rFonts w:ascii="宋体" w:hAnsi="宋体" w:eastAsia="宋体" w:cs="宋体"/>
          <w:color w:val="000000"/>
        </w:rPr>
        <w:t>（填“提高”或“降低”）湿地生态系统的多样性。</w:t>
      </w:r>
    </w:p>
    <w:p w14:paraId="720440C9">
      <w:pPr>
        <w:spacing w:line="360" w:lineRule="auto"/>
        <w:jc w:val="left"/>
        <w:textAlignment w:val="center"/>
        <w:rPr>
          <w:color w:val="000000"/>
        </w:rPr>
      </w:pPr>
      <w:r>
        <w:rPr>
          <w:color w:val="000000"/>
        </w:rPr>
        <w:t>（4）</w:t>
      </w:r>
      <w:r>
        <w:rPr>
          <w:rFonts w:ascii="宋体" w:hAnsi="宋体" w:eastAsia="宋体" w:cs="宋体"/>
          <w:color w:val="000000"/>
        </w:rPr>
        <w:t>在鸟类迁徙通道的觅食地，影响各种鸟类种群数量变化的关键生物因素是湿地中的_____。</w:t>
      </w:r>
    </w:p>
    <w:p w14:paraId="7358291D">
      <w:pPr>
        <w:spacing w:line="360" w:lineRule="auto"/>
        <w:jc w:val="left"/>
        <w:textAlignment w:val="center"/>
        <w:rPr>
          <w:color w:val="000000"/>
        </w:rPr>
      </w:pPr>
      <w:r>
        <w:rPr>
          <w:color w:val="000000"/>
        </w:rPr>
        <w:t>（5）</w:t>
      </w:r>
      <w:r>
        <w:rPr>
          <w:rFonts w:ascii="宋体" w:hAnsi="宋体" w:eastAsia="宋体" w:cs="宋体"/>
          <w:color w:val="000000"/>
        </w:rPr>
        <w:t>为稳定发挥辽宁滨海湿地在鸟类迁徙过程中重要节点的作用，应采取</w:t>
      </w:r>
      <w:r>
        <w:rPr>
          <w:color w:val="000000"/>
        </w:rPr>
        <w:t>_____</w:t>
      </w:r>
      <w:r>
        <w:rPr>
          <w:rFonts w:ascii="宋体" w:hAnsi="宋体" w:eastAsia="宋体" w:cs="宋体"/>
          <w:color w:val="000000"/>
        </w:rPr>
        <w:t>（答出两点即可）等措施，对该区域湿地进行全面的保护。</w:t>
      </w:r>
    </w:p>
    <w:p w14:paraId="4C8D0AE9">
      <w:pPr>
        <w:spacing w:line="360" w:lineRule="auto"/>
        <w:jc w:val="left"/>
        <w:textAlignment w:val="center"/>
        <w:rPr>
          <w:color w:val="000000"/>
        </w:rPr>
      </w:pPr>
      <w:r>
        <w:rPr>
          <w:color w:val="000000"/>
        </w:rPr>
        <w:t xml:space="preserve">24. </w:t>
      </w:r>
      <w:r>
        <w:rPr>
          <w:rFonts w:ascii="宋体" w:hAnsi="宋体" w:eastAsia="宋体" w:cs="宋体"/>
          <w:color w:val="000000"/>
        </w:rPr>
        <w:t>萝卜是雌雄同花植物，其贮藏根（萝卜）红色、紫色和白色由一对等位基因</w:t>
      </w:r>
      <w:r>
        <w:rPr>
          <w:rFonts w:ascii="Times New Roman" w:hAnsi="Times New Roman" w:eastAsia="Times New Roman" w:cs="Times New Roman"/>
          <w:color w:val="000000"/>
        </w:rPr>
        <w:t>W</w:t>
      </w:r>
      <w:r>
        <w:rPr>
          <w:rFonts w:ascii="宋体" w:hAnsi="宋体" w:eastAsia="宋体" w:cs="宋体"/>
          <w:color w:val="000000"/>
        </w:rPr>
        <w:t>、</w:t>
      </w:r>
      <w:r>
        <w:rPr>
          <w:rFonts w:ascii="Times New Roman" w:hAnsi="Times New Roman" w:eastAsia="Times New Roman" w:cs="Times New Roman"/>
          <w:color w:val="000000"/>
        </w:rPr>
        <w:t>w</w:t>
      </w:r>
      <w:r>
        <w:rPr>
          <w:rFonts w:ascii="宋体" w:hAnsi="宋体" w:eastAsia="宋体" w:cs="宋体"/>
          <w:color w:val="000000"/>
        </w:rPr>
        <w:t>控制，长形、椭圆形和圆形由另一对等位基因</w:t>
      </w:r>
      <w:r>
        <w:rPr>
          <w:rFonts w:ascii="Times New Roman" w:hAnsi="Times New Roman" w:eastAsia="Times New Roman" w:cs="Times New Roman"/>
          <w:color w:val="000000"/>
        </w:rPr>
        <w:t>R</w:t>
      </w:r>
      <w:r>
        <w:rPr>
          <w:rFonts w:ascii="宋体" w:hAnsi="宋体" w:eastAsia="宋体" w:cs="宋体"/>
          <w:color w:val="000000"/>
        </w:rPr>
        <w:t>、</w:t>
      </w:r>
      <w:r>
        <w:rPr>
          <w:rFonts w:ascii="Times New Roman" w:hAnsi="Times New Roman" w:eastAsia="Times New Roman" w:cs="Times New Roman"/>
          <w:color w:val="000000"/>
        </w:rPr>
        <w:t>r</w:t>
      </w:r>
      <w:r>
        <w:rPr>
          <w:rFonts w:ascii="宋体" w:hAnsi="宋体" w:eastAsia="宋体" w:cs="宋体"/>
          <w:color w:val="000000"/>
        </w:rPr>
        <w:t>控制。一株表型为紫色椭圆形萝卜的植株自交，</w:t>
      </w:r>
      <w:r>
        <w:rPr>
          <w:rFonts w:ascii="Times New Roman" w:hAnsi="Times New Roman" w:eastAsia="Times New Roman" w:cs="Times New Roman"/>
          <w:color w:val="000000"/>
        </w:rPr>
        <w:t>F</w:t>
      </w:r>
      <w:r>
        <w:rPr>
          <w:rFonts w:ascii="Cambria Math" w:hAnsi="Cambria Math" w:eastAsia="Cambria Math" w:cs="Cambria Math"/>
          <w:color w:val="000000"/>
        </w:rPr>
        <w:t>₁</w:t>
      </w:r>
      <w:r>
        <w:rPr>
          <w:rFonts w:ascii="宋体" w:hAnsi="宋体" w:eastAsia="宋体" w:cs="宋体"/>
          <w:color w:val="000000"/>
        </w:rPr>
        <w:t>的表型及其比例如下表所示。回答下列问题：</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79"/>
        <w:gridCol w:w="660"/>
        <w:gridCol w:w="870"/>
        <w:gridCol w:w="660"/>
        <w:gridCol w:w="660"/>
        <w:gridCol w:w="870"/>
        <w:gridCol w:w="660"/>
        <w:gridCol w:w="660"/>
        <w:gridCol w:w="870"/>
        <w:gridCol w:w="660"/>
      </w:tblGrid>
      <w:tr w14:paraId="66C797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FE6161">
            <w:pPr>
              <w:spacing w:line="360" w:lineRule="auto"/>
              <w:jc w:val="left"/>
              <w:textAlignment w:val="center"/>
              <w:rPr>
                <w:color w:val="000000"/>
              </w:rPr>
            </w:pPr>
            <w:r>
              <w:rPr>
                <w:rFonts w:ascii="Times New Roman" w:hAnsi="Times New Roman" w:eastAsia="Times New Roman" w:cs="Times New Roman"/>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表型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5BF438">
            <w:pPr>
              <w:spacing w:line="360" w:lineRule="auto"/>
              <w:jc w:val="left"/>
              <w:textAlignment w:val="center"/>
              <w:rPr>
                <w:color w:val="000000"/>
              </w:rPr>
            </w:pPr>
            <w:r>
              <w:rPr>
                <w:rFonts w:ascii="宋体" w:hAnsi="宋体" w:eastAsia="宋体" w:cs="宋体"/>
                <w:color w:val="000000"/>
              </w:rPr>
              <w:t>红色</w:t>
            </w:r>
          </w:p>
          <w:p w14:paraId="33C5380C">
            <w:pPr>
              <w:spacing w:line="360" w:lineRule="auto"/>
              <w:jc w:val="left"/>
              <w:textAlignment w:val="center"/>
              <w:rPr>
                <w:color w:val="000000"/>
              </w:rPr>
            </w:pPr>
            <w:r>
              <w:rPr>
                <w:rFonts w:ascii="宋体" w:hAnsi="宋体" w:eastAsia="宋体" w:cs="宋体"/>
                <w:color w:val="000000"/>
              </w:rPr>
              <w:t>长形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752057">
            <w:pPr>
              <w:spacing w:line="360" w:lineRule="auto"/>
              <w:jc w:val="left"/>
              <w:textAlignment w:val="center"/>
              <w:rPr>
                <w:color w:val="000000"/>
              </w:rPr>
            </w:pPr>
            <w:r>
              <w:rPr>
                <w:rFonts w:ascii="宋体" w:hAnsi="宋体" w:eastAsia="宋体" w:cs="宋体"/>
                <w:color w:val="000000"/>
              </w:rPr>
              <w:t>红色</w:t>
            </w:r>
          </w:p>
          <w:p w14:paraId="266FAB32">
            <w:pPr>
              <w:spacing w:line="360" w:lineRule="auto"/>
              <w:jc w:val="left"/>
              <w:textAlignment w:val="center"/>
              <w:rPr>
                <w:color w:val="000000"/>
              </w:rPr>
            </w:pPr>
            <w:r>
              <w:rPr>
                <w:rFonts w:ascii="宋体" w:hAnsi="宋体" w:eastAsia="宋体" w:cs="宋体"/>
                <w:color w:val="000000"/>
              </w:rPr>
              <w:t>椭圆形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A5EA40">
            <w:pPr>
              <w:spacing w:line="360" w:lineRule="auto"/>
              <w:jc w:val="left"/>
              <w:textAlignment w:val="center"/>
              <w:rPr>
                <w:color w:val="000000"/>
              </w:rPr>
            </w:pPr>
            <w:r>
              <w:rPr>
                <w:rFonts w:ascii="宋体" w:hAnsi="宋体" w:eastAsia="宋体" w:cs="宋体"/>
                <w:color w:val="000000"/>
              </w:rPr>
              <w:t>红色</w:t>
            </w:r>
          </w:p>
          <w:p w14:paraId="687A0E30">
            <w:pPr>
              <w:spacing w:line="360" w:lineRule="auto"/>
              <w:jc w:val="left"/>
              <w:textAlignment w:val="center"/>
              <w:rPr>
                <w:color w:val="000000"/>
              </w:rPr>
            </w:pPr>
            <w:r>
              <w:rPr>
                <w:rFonts w:ascii="宋体" w:hAnsi="宋体" w:eastAsia="宋体" w:cs="宋体"/>
                <w:color w:val="000000"/>
              </w:rPr>
              <w:t>圆形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0CB8DD">
            <w:pPr>
              <w:spacing w:line="360" w:lineRule="auto"/>
              <w:jc w:val="left"/>
              <w:textAlignment w:val="center"/>
              <w:rPr>
                <w:color w:val="000000"/>
              </w:rPr>
            </w:pPr>
            <w:r>
              <w:rPr>
                <w:rFonts w:ascii="宋体" w:hAnsi="宋体" w:eastAsia="宋体" w:cs="宋体"/>
                <w:color w:val="000000"/>
              </w:rPr>
              <w:t>紫色</w:t>
            </w:r>
          </w:p>
          <w:p w14:paraId="6ACA120F">
            <w:pPr>
              <w:spacing w:line="360" w:lineRule="auto"/>
              <w:jc w:val="left"/>
              <w:textAlignment w:val="center"/>
              <w:rPr>
                <w:color w:val="000000"/>
              </w:rPr>
            </w:pPr>
            <w:r>
              <w:rPr>
                <w:rFonts w:ascii="宋体" w:hAnsi="宋体" w:eastAsia="宋体" w:cs="宋体"/>
                <w:color w:val="000000"/>
              </w:rPr>
              <w:t>长形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CDE4AD">
            <w:pPr>
              <w:spacing w:line="360" w:lineRule="auto"/>
              <w:jc w:val="left"/>
              <w:textAlignment w:val="center"/>
              <w:rPr>
                <w:color w:val="000000"/>
              </w:rPr>
            </w:pPr>
            <w:r>
              <w:rPr>
                <w:rFonts w:ascii="宋体" w:hAnsi="宋体" w:eastAsia="宋体" w:cs="宋体"/>
                <w:color w:val="000000"/>
              </w:rPr>
              <w:t>紫色</w:t>
            </w:r>
          </w:p>
          <w:p w14:paraId="6BCA5055">
            <w:pPr>
              <w:spacing w:line="360" w:lineRule="auto"/>
              <w:jc w:val="left"/>
              <w:textAlignment w:val="center"/>
              <w:rPr>
                <w:color w:val="000000"/>
              </w:rPr>
            </w:pPr>
            <w:r>
              <w:rPr>
                <w:rFonts w:ascii="宋体" w:hAnsi="宋体" w:eastAsia="宋体" w:cs="宋体"/>
                <w:color w:val="000000"/>
              </w:rPr>
              <w:t>椭圆形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186A13">
            <w:pPr>
              <w:spacing w:line="360" w:lineRule="auto"/>
              <w:jc w:val="left"/>
              <w:textAlignment w:val="center"/>
              <w:rPr>
                <w:color w:val="000000"/>
              </w:rPr>
            </w:pPr>
            <w:r>
              <w:rPr>
                <w:rFonts w:ascii="宋体" w:hAnsi="宋体" w:eastAsia="宋体" w:cs="宋体"/>
                <w:color w:val="000000"/>
              </w:rPr>
              <w:t>紫色</w:t>
            </w:r>
          </w:p>
          <w:p w14:paraId="204B2309">
            <w:pPr>
              <w:spacing w:line="360" w:lineRule="auto"/>
              <w:jc w:val="left"/>
              <w:textAlignment w:val="center"/>
              <w:rPr>
                <w:color w:val="000000"/>
              </w:rPr>
            </w:pPr>
            <w:r>
              <w:rPr>
                <w:rFonts w:ascii="宋体" w:hAnsi="宋体" w:eastAsia="宋体" w:cs="宋体"/>
                <w:color w:val="000000"/>
              </w:rPr>
              <w:t>圆形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160002">
            <w:pPr>
              <w:spacing w:line="360" w:lineRule="auto"/>
              <w:jc w:val="left"/>
              <w:textAlignment w:val="center"/>
              <w:rPr>
                <w:color w:val="000000"/>
              </w:rPr>
            </w:pPr>
            <w:r>
              <w:rPr>
                <w:rFonts w:ascii="宋体" w:hAnsi="宋体" w:eastAsia="宋体" w:cs="宋体"/>
                <w:color w:val="000000"/>
              </w:rPr>
              <w:t>白色</w:t>
            </w:r>
          </w:p>
          <w:p w14:paraId="3C203F14">
            <w:pPr>
              <w:spacing w:line="360" w:lineRule="auto"/>
              <w:jc w:val="left"/>
              <w:textAlignment w:val="center"/>
              <w:rPr>
                <w:color w:val="000000"/>
              </w:rPr>
            </w:pPr>
            <w:r>
              <w:rPr>
                <w:rFonts w:ascii="宋体" w:hAnsi="宋体" w:eastAsia="宋体" w:cs="宋体"/>
                <w:color w:val="000000"/>
              </w:rPr>
              <w:t>长形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027C1A">
            <w:pPr>
              <w:spacing w:line="360" w:lineRule="auto"/>
              <w:jc w:val="left"/>
              <w:textAlignment w:val="center"/>
              <w:rPr>
                <w:color w:val="000000"/>
              </w:rPr>
            </w:pPr>
            <w:r>
              <w:rPr>
                <w:rFonts w:ascii="宋体" w:hAnsi="宋体" w:eastAsia="宋体" w:cs="宋体"/>
                <w:color w:val="000000"/>
              </w:rPr>
              <w:t>白色</w:t>
            </w:r>
          </w:p>
          <w:p w14:paraId="27D2C359">
            <w:pPr>
              <w:spacing w:line="360" w:lineRule="auto"/>
              <w:jc w:val="left"/>
              <w:textAlignment w:val="center"/>
              <w:rPr>
                <w:color w:val="000000"/>
              </w:rPr>
            </w:pPr>
            <w:r>
              <w:rPr>
                <w:rFonts w:ascii="宋体" w:hAnsi="宋体" w:eastAsia="宋体" w:cs="宋体"/>
                <w:color w:val="000000"/>
              </w:rPr>
              <w:t>椭圆形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296541">
            <w:pPr>
              <w:spacing w:line="360" w:lineRule="auto"/>
              <w:jc w:val="left"/>
              <w:textAlignment w:val="center"/>
              <w:rPr>
                <w:color w:val="000000"/>
              </w:rPr>
            </w:pPr>
            <w:r>
              <w:rPr>
                <w:rFonts w:ascii="宋体" w:hAnsi="宋体" w:eastAsia="宋体" w:cs="宋体"/>
                <w:color w:val="000000"/>
              </w:rPr>
              <w:t>白色</w:t>
            </w:r>
          </w:p>
          <w:p w14:paraId="7CEA8633">
            <w:pPr>
              <w:spacing w:line="360" w:lineRule="auto"/>
              <w:jc w:val="left"/>
              <w:textAlignment w:val="center"/>
              <w:rPr>
                <w:color w:val="000000"/>
              </w:rPr>
            </w:pPr>
            <w:r>
              <w:rPr>
                <w:rFonts w:ascii="宋体" w:hAnsi="宋体" w:eastAsia="宋体" w:cs="宋体"/>
                <w:color w:val="000000"/>
              </w:rPr>
              <w:t>圆形</w:t>
            </w:r>
          </w:p>
        </w:tc>
      </w:tr>
      <w:tr w14:paraId="73632D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DB1D93">
            <w:pPr>
              <w:spacing w:line="360" w:lineRule="auto"/>
              <w:jc w:val="left"/>
              <w:textAlignment w:val="center"/>
              <w:rPr>
                <w:color w:val="000000"/>
              </w:rPr>
            </w:pPr>
            <w:r>
              <w:rPr>
                <w:rFonts w:ascii="宋体" w:hAnsi="宋体" w:eastAsia="宋体" w:cs="宋体"/>
                <w:color w:val="000000"/>
              </w:rPr>
              <w:t>比例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6F58D6">
            <w:pPr>
              <w:spacing w:line="360" w:lineRule="auto"/>
              <w:jc w:val="left"/>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CD65FA">
            <w:pPr>
              <w:spacing w:line="360" w:lineRule="auto"/>
              <w:jc w:val="left"/>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5C2FD1">
            <w:pPr>
              <w:spacing w:line="360" w:lineRule="auto"/>
              <w:jc w:val="left"/>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37CA16">
            <w:pPr>
              <w:spacing w:line="360" w:lineRule="auto"/>
              <w:jc w:val="left"/>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FF0919">
            <w:pPr>
              <w:spacing w:line="360" w:lineRule="auto"/>
              <w:jc w:val="left"/>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FE2990">
            <w:pPr>
              <w:spacing w:line="360" w:lineRule="auto"/>
              <w:jc w:val="left"/>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3773DF">
            <w:pPr>
              <w:spacing w:line="360" w:lineRule="auto"/>
              <w:jc w:val="left"/>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C9FFA4">
            <w:pPr>
              <w:spacing w:line="360" w:lineRule="auto"/>
              <w:jc w:val="left"/>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043FF0">
            <w:pPr>
              <w:spacing w:line="360" w:lineRule="auto"/>
              <w:jc w:val="left"/>
              <w:textAlignment w:val="center"/>
              <w:rPr>
                <w:color w:val="000000"/>
              </w:rPr>
            </w:pPr>
            <w:r>
              <w:rPr>
                <w:rFonts w:ascii="Times New Roman" w:hAnsi="Times New Roman" w:eastAsia="Times New Roman" w:cs="Times New Roman"/>
                <w:color w:val="000000"/>
              </w:rPr>
              <w:t>1</w:t>
            </w:r>
          </w:p>
        </w:tc>
      </w:tr>
    </w:tbl>
    <w:p w14:paraId="2927B40E">
      <w:pPr>
        <w:spacing w:line="360" w:lineRule="auto"/>
        <w:jc w:val="left"/>
        <w:textAlignment w:val="center"/>
        <w:rPr>
          <w:color w:val="000000"/>
        </w:rPr>
      </w:pPr>
      <w:r>
        <w:rPr>
          <w:rFonts w:ascii="宋体" w:hAnsi="宋体" w:eastAsia="宋体" w:cs="宋体"/>
          <w:color w:val="000000"/>
        </w:rPr>
        <w:t>注：假设不同基因型植株个体及配子的存活率相同</w:t>
      </w:r>
    </w:p>
    <w:p w14:paraId="565FC65A">
      <w:pPr>
        <w:spacing w:line="360" w:lineRule="auto"/>
        <w:jc w:val="left"/>
        <w:textAlignment w:val="center"/>
        <w:rPr>
          <w:color w:val="000000"/>
        </w:rPr>
      </w:pPr>
      <w:r>
        <w:rPr>
          <w:color w:val="000000"/>
        </w:rPr>
        <w:t>（1）</w:t>
      </w:r>
      <w:r>
        <w:rPr>
          <w:rFonts w:ascii="宋体" w:hAnsi="宋体" w:eastAsia="宋体" w:cs="宋体"/>
          <w:color w:val="000000"/>
        </w:rPr>
        <w:t>控制萝卜颜色和形状的两对基因的遗传</w:t>
      </w:r>
      <w:r>
        <w:rPr>
          <w:color w:val="000000"/>
        </w:rPr>
        <w:t>_____</w:t>
      </w:r>
      <w:r>
        <w:rPr>
          <w:rFonts w:ascii="宋体" w:hAnsi="宋体" w:eastAsia="宋体" w:cs="宋体"/>
          <w:color w:val="000000"/>
        </w:rPr>
        <w:t>（填“遵循”或“不遵循”）孟德尔第二定律。</w:t>
      </w:r>
    </w:p>
    <w:p w14:paraId="14F38496">
      <w:pPr>
        <w:spacing w:line="360" w:lineRule="auto"/>
        <w:jc w:val="left"/>
        <w:textAlignment w:val="center"/>
        <w:rPr>
          <w:color w:val="000000"/>
        </w:rPr>
      </w:pPr>
      <w:r>
        <w:rPr>
          <w:color w:val="000000"/>
        </w:rPr>
        <w:t>（2）</w:t>
      </w:r>
      <w:r>
        <w:rPr>
          <w:rFonts w:ascii="宋体" w:hAnsi="宋体" w:eastAsia="宋体" w:cs="宋体"/>
          <w:color w:val="000000"/>
        </w:rPr>
        <w:t>为验证上述结论，以</w:t>
      </w:r>
      <w:r>
        <w:rPr>
          <w:rFonts w:ascii="Times New Roman" w:hAnsi="Times New Roman" w:eastAsia="Times New Roman" w:cs="Times New Roman"/>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为实验材料，设计实验进行验证：</w:t>
      </w:r>
    </w:p>
    <w:p w14:paraId="3A8271C8">
      <w:pPr>
        <w:spacing w:line="360" w:lineRule="auto"/>
        <w:jc w:val="left"/>
        <w:textAlignment w:val="center"/>
        <w:rPr>
          <w:color w:val="000000"/>
        </w:rPr>
      </w:pPr>
      <w:r>
        <w:rPr>
          <w:rFonts w:ascii="宋体" w:hAnsi="宋体" w:eastAsia="宋体" w:cs="宋体"/>
          <w:color w:val="000000"/>
        </w:rPr>
        <w:t>①选择萝卜表型为</w:t>
      </w:r>
      <w:r>
        <w:rPr>
          <w:color w:val="000000"/>
        </w:rPr>
        <w:t>_____</w:t>
      </w:r>
      <w:r>
        <w:rPr>
          <w:rFonts w:ascii="宋体" w:hAnsi="宋体" w:eastAsia="宋体" w:cs="宋体"/>
          <w:color w:val="000000"/>
        </w:rPr>
        <w:t>和红色长形的植株作亲本进行杂交实验。</w:t>
      </w:r>
    </w:p>
    <w:p w14:paraId="18E6D72F">
      <w:pPr>
        <w:spacing w:line="360" w:lineRule="auto"/>
        <w:jc w:val="left"/>
        <w:textAlignment w:val="center"/>
        <w:rPr>
          <w:color w:val="000000"/>
        </w:rPr>
      </w:pPr>
      <w:r>
        <w:rPr>
          <w:rFonts w:ascii="宋体" w:hAnsi="宋体" w:eastAsia="宋体" w:cs="宋体"/>
          <w:color w:val="000000"/>
        </w:rPr>
        <w:t>②若子代表型及其比例为</w:t>
      </w:r>
      <w:r>
        <w:rPr>
          <w:color w:val="000000"/>
        </w:rPr>
        <w:t>_____</w:t>
      </w:r>
      <w:r>
        <w:rPr>
          <w:rFonts w:ascii="宋体" w:hAnsi="宋体" w:eastAsia="宋体" w:cs="宋体"/>
          <w:color w:val="000000"/>
        </w:rPr>
        <w:t>，则上述结论得到验证。</w:t>
      </w:r>
    </w:p>
    <w:p w14:paraId="6A332C70">
      <w:pPr>
        <w:spacing w:line="360" w:lineRule="auto"/>
        <w:jc w:val="left"/>
        <w:textAlignment w:val="center"/>
        <w:rPr>
          <w:color w:val="000000"/>
        </w:rPr>
      </w:pPr>
      <w:r>
        <w:rPr>
          <w:color w:val="000000"/>
        </w:rPr>
        <w:t>（3）</w:t>
      </w:r>
      <w:r>
        <w:rPr>
          <w:rFonts w:ascii="宋体" w:hAnsi="宋体" w:eastAsia="宋体" w:cs="宋体"/>
          <w:color w:val="000000"/>
        </w:rPr>
        <w:t>表中</w:t>
      </w:r>
      <w:r>
        <w:rPr>
          <w:rFonts w:ascii="Times New Roman" w:hAnsi="Times New Roman" w:eastAsia="Times New Roman" w:cs="Times New Roman"/>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植株纯合子所占比例是</w:t>
      </w:r>
      <w:r>
        <w:rPr>
          <w:color w:val="000000"/>
        </w:rPr>
        <w:t>_____</w:t>
      </w:r>
      <w:r>
        <w:rPr>
          <w:rFonts w:ascii="宋体" w:hAnsi="宋体" w:eastAsia="宋体" w:cs="宋体"/>
          <w:color w:val="000000"/>
        </w:rPr>
        <w:t>；若表中</w:t>
      </w:r>
      <w:r>
        <w:rPr>
          <w:rFonts w:ascii="Times New Roman" w:hAnsi="Times New Roman" w:eastAsia="Times New Roman" w:cs="Times New Roman"/>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随机传粉，</w:t>
      </w:r>
      <w:r>
        <w:rPr>
          <w:rFonts w:ascii="Times New Roman" w:hAnsi="Times New Roman" w:eastAsia="Times New Roman" w:cs="Times New Roman"/>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植株中表型为紫色椭圆形萝卜的植株所占比例是</w:t>
      </w:r>
      <w:r>
        <w:rPr>
          <w:color w:val="000000"/>
        </w:rPr>
        <w:t>_____</w:t>
      </w:r>
      <w:r>
        <w:rPr>
          <w:rFonts w:ascii="宋体" w:hAnsi="宋体" w:eastAsia="宋体" w:cs="宋体"/>
          <w:color w:val="000000"/>
        </w:rPr>
        <w:t>。</w:t>
      </w:r>
    </w:p>
    <w:p w14:paraId="4A5C5AD3">
      <w:pPr>
        <w:spacing w:line="360" w:lineRule="auto"/>
        <w:jc w:val="left"/>
        <w:textAlignment w:val="center"/>
        <w:rPr>
          <w:color w:val="000000"/>
        </w:rPr>
      </w:pPr>
      <w:r>
        <w:rPr>
          <w:color w:val="000000"/>
        </w:rPr>
        <w:t>（4）</w:t>
      </w:r>
      <w:r>
        <w:rPr>
          <w:rFonts w:ascii="宋体" w:hAnsi="宋体" w:eastAsia="宋体" w:cs="宋体"/>
          <w:color w:val="000000"/>
        </w:rPr>
        <w:t>食品工艺加工需大量使用紫色萝卜，为满足其需要，可在短时间内大量培育紫色萝卜种苗的技术是</w:t>
      </w:r>
      <w:r>
        <w:rPr>
          <w:color w:val="000000"/>
        </w:rPr>
        <w:t>_____</w:t>
      </w:r>
      <w:r>
        <w:rPr>
          <w:rFonts w:ascii="宋体" w:hAnsi="宋体" w:eastAsia="宋体" w:cs="宋体"/>
          <w:color w:val="000000"/>
        </w:rPr>
        <w:t>。</w:t>
      </w:r>
    </w:p>
    <w:p w14:paraId="7C7F367C">
      <w:pPr>
        <w:spacing w:line="360" w:lineRule="auto"/>
        <w:jc w:val="left"/>
        <w:textAlignment w:val="center"/>
        <w:rPr>
          <w:color w:val="000000"/>
        </w:rPr>
      </w:pPr>
      <w:r>
        <w:rPr>
          <w:color w:val="000000"/>
        </w:rPr>
        <w:t xml:space="preserve">25. </w:t>
      </w:r>
      <w:r>
        <w:rPr>
          <w:rFonts w:ascii="宋体" w:hAnsi="宋体" w:eastAsia="宋体" w:cs="宋体"/>
          <w:color w:val="000000"/>
        </w:rPr>
        <w:t>天然</w:t>
      </w:r>
      <w:r>
        <w:rPr>
          <w:rFonts w:ascii="Times New Roman" w:hAnsi="Times New Roman" w:eastAsia="Times New Roman" w:cs="Times New Roman"/>
          <w:color w:val="000000"/>
        </w:rPr>
        <w:t>β</w:t>
      </w:r>
      <w:r>
        <w:rPr>
          <w:rFonts w:ascii="宋体" w:hAnsi="宋体" w:eastAsia="宋体" w:cs="宋体"/>
          <w:color w:val="000000"/>
        </w:rPr>
        <w:t>淀粉酶大多耐热性差，不利于工业化应用。我国学者借助</w:t>
      </w:r>
      <w:r>
        <w:rPr>
          <w:rFonts w:ascii="Times New Roman" w:hAnsi="Times New Roman" w:eastAsia="Times New Roman" w:cs="Times New Roman"/>
          <w:color w:val="000000"/>
        </w:rPr>
        <w:t>PCR</w:t>
      </w:r>
      <w:r>
        <w:rPr>
          <w:rFonts w:ascii="宋体" w:hAnsi="宋体" w:eastAsia="宋体" w:cs="宋体"/>
          <w:color w:val="000000"/>
        </w:rPr>
        <w:t>改造</w:t>
      </w:r>
      <w:r>
        <w:rPr>
          <w:rFonts w:ascii="Times New Roman" w:hAnsi="Times New Roman" w:eastAsia="Times New Roman" w:cs="Times New Roman"/>
          <w:color w:val="000000"/>
        </w:rPr>
        <w:t>β-</w:t>
      </w:r>
      <w:r>
        <w:rPr>
          <w:rFonts w:ascii="宋体" w:hAnsi="宋体" w:eastAsia="宋体" w:cs="宋体"/>
          <w:color w:val="000000"/>
        </w:rPr>
        <w:t>淀粉酶基因，并将改造的基因与</w:t>
      </w:r>
      <w:r>
        <w:rPr>
          <w:rFonts w:ascii="Times New Roman" w:hAnsi="Times New Roman" w:eastAsia="Times New Roman" w:cs="Times New Roman"/>
          <w:color w:val="000000"/>
        </w:rPr>
        <w:t>pLN23</w:t>
      </w:r>
      <w:r>
        <w:rPr>
          <w:rFonts w:ascii="宋体" w:hAnsi="宋体" w:eastAsia="宋体" w:cs="宋体"/>
          <w:color w:val="000000"/>
        </w:rPr>
        <w:t>质粒重组后导入大肠杆菌，最终获得耐高温的</w:t>
      </w:r>
      <w:r>
        <w:rPr>
          <w:rFonts w:ascii="Times New Roman" w:hAnsi="Times New Roman" w:eastAsia="Times New Roman" w:cs="Times New Roman"/>
          <w:color w:val="000000"/>
        </w:rPr>
        <w:t>β-</w:t>
      </w:r>
      <w:r>
        <w:rPr>
          <w:rFonts w:ascii="宋体" w:hAnsi="宋体" w:eastAsia="宋体" w:cs="宋体"/>
          <w:color w:val="000000"/>
        </w:rPr>
        <w:t>淀粉酶。回答下列问题：</w:t>
      </w:r>
    </w:p>
    <w:p w14:paraId="15AB17E7">
      <w:pPr>
        <w:spacing w:line="360" w:lineRule="auto"/>
        <w:jc w:val="left"/>
        <w:textAlignment w:val="center"/>
        <w:rPr>
          <w:color w:val="000000"/>
        </w:rPr>
      </w:pPr>
      <w:r>
        <w:rPr>
          <w:color w:val="000000"/>
        </w:rPr>
        <w:t>（1）</w:t>
      </w:r>
      <w:r>
        <w:rPr>
          <w:rFonts w:ascii="宋体" w:hAnsi="宋体" w:eastAsia="宋体" w:cs="宋体"/>
          <w:color w:val="000000"/>
        </w:rPr>
        <w:t>上述过程属于</w:t>
      </w:r>
      <w:r>
        <w:rPr>
          <w:color w:val="000000"/>
        </w:rPr>
        <w:t>_____</w:t>
      </w:r>
      <w:r>
        <w:rPr>
          <w:rFonts w:ascii="宋体" w:hAnsi="宋体" w:eastAsia="宋体" w:cs="宋体"/>
          <w:color w:val="000000"/>
        </w:rPr>
        <w:t>工程。</w:t>
      </w:r>
    </w:p>
    <w:p w14:paraId="684EE486">
      <w:pPr>
        <w:spacing w:line="360" w:lineRule="auto"/>
        <w:jc w:val="left"/>
        <w:textAlignment w:val="center"/>
        <w:rPr>
          <w:color w:val="000000"/>
        </w:rPr>
      </w:pPr>
      <w:r>
        <w:rPr>
          <w:color w:val="000000"/>
        </w:rPr>
        <w:t>（2）</w:t>
      </w:r>
      <w:r>
        <w:rPr>
          <w:rFonts w:ascii="Times New Roman" w:hAnsi="Times New Roman" w:eastAsia="Times New Roman" w:cs="Times New Roman"/>
          <w:color w:val="000000"/>
        </w:rPr>
        <w:t>PCR</w:t>
      </w:r>
      <w:r>
        <w:rPr>
          <w:rFonts w:ascii="宋体" w:hAnsi="宋体" w:eastAsia="宋体" w:cs="宋体"/>
          <w:color w:val="000000"/>
        </w:rPr>
        <w:t>中使用的聚合酶属于</w:t>
      </w:r>
      <w:r>
        <w:rPr>
          <w:color w:val="000000"/>
        </w:rPr>
        <w:t>_____</w:t>
      </w:r>
      <w:r>
        <w:rPr>
          <w:rFonts w:ascii="宋体" w:hAnsi="宋体" w:eastAsia="宋体" w:cs="宋体"/>
          <w:color w:val="000000"/>
        </w:rPr>
        <w:t>（填写编号）。</w:t>
      </w:r>
    </w:p>
    <w:p w14:paraId="72AE689A">
      <w:pPr>
        <w:spacing w:line="360" w:lineRule="auto"/>
        <w:jc w:val="left"/>
        <w:textAlignment w:val="center"/>
        <w:rPr>
          <w:color w:val="000000"/>
        </w:rPr>
      </w:pPr>
      <w:r>
        <w:rPr>
          <w:rFonts w:ascii="宋体" w:hAnsi="宋体" w:eastAsia="宋体" w:cs="宋体"/>
          <w:color w:val="000000"/>
        </w:rPr>
        <w:t>①以</w:t>
      </w:r>
      <w:r>
        <w:rPr>
          <w:rFonts w:ascii="Times New Roman" w:hAnsi="Times New Roman" w:eastAsia="Times New Roman" w:cs="Times New Roman"/>
          <w:color w:val="000000"/>
        </w:rPr>
        <w:t>DNA</w:t>
      </w:r>
      <w:r>
        <w:rPr>
          <w:rFonts w:ascii="宋体" w:hAnsi="宋体" w:eastAsia="宋体" w:cs="宋体"/>
          <w:color w:val="000000"/>
        </w:rPr>
        <w:t>为模板的</w:t>
      </w:r>
      <w:r>
        <w:rPr>
          <w:rFonts w:ascii="Times New Roman" w:hAnsi="Times New Roman" w:eastAsia="Times New Roman" w:cs="Times New Roman"/>
          <w:color w:val="000000"/>
        </w:rPr>
        <w:t>RNA</w:t>
      </w:r>
      <w:r>
        <w:rPr>
          <w:rFonts w:ascii="宋体" w:hAnsi="宋体" w:eastAsia="宋体" w:cs="宋体"/>
          <w:color w:val="000000"/>
        </w:rPr>
        <w:t>聚合酶</w:t>
      </w:r>
      <w:r>
        <w:rPr>
          <w:rFonts w:ascii="Times New Roman" w:hAnsi="Times New Roman" w:eastAsia="Times New Roman" w:cs="Times New Roman"/>
          <w:color w:val="000000"/>
        </w:rPr>
        <w:t xml:space="preserve">     </w:t>
      </w:r>
      <w:r>
        <w:rPr>
          <w:rFonts w:ascii="宋体" w:hAnsi="宋体" w:eastAsia="宋体" w:cs="宋体"/>
          <w:color w:val="000000"/>
        </w:rPr>
        <w:t>②以</w:t>
      </w:r>
      <w:r>
        <w:rPr>
          <w:rFonts w:ascii="Times New Roman" w:hAnsi="Times New Roman" w:eastAsia="Times New Roman" w:cs="Times New Roman"/>
          <w:color w:val="000000"/>
        </w:rPr>
        <w:t>RNA</w:t>
      </w:r>
      <w:r>
        <w:rPr>
          <w:rFonts w:ascii="宋体" w:hAnsi="宋体" w:eastAsia="宋体" w:cs="宋体"/>
          <w:color w:val="000000"/>
        </w:rPr>
        <w:t>为模板的</w:t>
      </w:r>
      <w:r>
        <w:rPr>
          <w:rFonts w:ascii="Times New Roman" w:hAnsi="Times New Roman" w:eastAsia="Times New Roman" w:cs="Times New Roman"/>
          <w:color w:val="000000"/>
        </w:rPr>
        <w:t>RNA</w:t>
      </w:r>
      <w:r>
        <w:rPr>
          <w:rFonts w:ascii="宋体" w:hAnsi="宋体" w:eastAsia="宋体" w:cs="宋体"/>
          <w:color w:val="000000"/>
        </w:rPr>
        <w:t>聚合酶</w:t>
      </w:r>
    </w:p>
    <w:p w14:paraId="66647433">
      <w:pPr>
        <w:spacing w:line="360" w:lineRule="auto"/>
        <w:jc w:val="left"/>
        <w:textAlignment w:val="center"/>
        <w:rPr>
          <w:color w:val="000000"/>
        </w:rPr>
      </w:pPr>
      <w:r>
        <w:rPr>
          <w:rFonts w:ascii="宋体" w:hAnsi="宋体" w:eastAsia="宋体" w:cs="宋体"/>
          <w:color w:val="000000"/>
        </w:rPr>
        <w:t>③以</w:t>
      </w:r>
      <w:r>
        <w:rPr>
          <w:rFonts w:ascii="Times New Roman" w:hAnsi="Times New Roman" w:eastAsia="Times New Roman" w:cs="Times New Roman"/>
          <w:color w:val="000000"/>
        </w:rPr>
        <w:t>DNA</w:t>
      </w:r>
      <w:r>
        <w:rPr>
          <w:rFonts w:ascii="宋体" w:hAnsi="宋体" w:eastAsia="宋体" w:cs="宋体"/>
          <w:color w:val="000000"/>
        </w:rPr>
        <w:t>为模板的</w:t>
      </w:r>
      <w:r>
        <w:rPr>
          <w:rFonts w:ascii="Times New Roman" w:hAnsi="Times New Roman" w:eastAsia="Times New Roman" w:cs="Times New Roman"/>
          <w:color w:val="000000"/>
        </w:rPr>
        <w:t>DNA</w:t>
      </w:r>
      <w:r>
        <w:rPr>
          <w:rFonts w:ascii="宋体" w:hAnsi="宋体" w:eastAsia="宋体" w:cs="宋体"/>
          <w:color w:val="000000"/>
        </w:rPr>
        <w:t>聚合酶</w:t>
      </w:r>
      <w:r>
        <w:rPr>
          <w:rFonts w:ascii="Times New Roman" w:hAnsi="Times New Roman" w:eastAsia="Times New Roman" w:cs="Times New Roman"/>
          <w:color w:val="000000"/>
        </w:rPr>
        <w:t xml:space="preserve">     </w:t>
      </w:r>
      <w:r>
        <w:rPr>
          <w:rFonts w:ascii="宋体" w:hAnsi="宋体" w:eastAsia="宋体" w:cs="宋体"/>
          <w:color w:val="000000"/>
        </w:rPr>
        <w:t>④以</w:t>
      </w:r>
      <w:r>
        <w:rPr>
          <w:rFonts w:ascii="Times New Roman" w:hAnsi="Times New Roman" w:eastAsia="Times New Roman" w:cs="Times New Roman"/>
          <w:color w:val="000000"/>
        </w:rPr>
        <w:t>RNA</w:t>
      </w:r>
      <w:r>
        <w:rPr>
          <w:rFonts w:ascii="宋体" w:hAnsi="宋体" w:eastAsia="宋体" w:cs="宋体"/>
          <w:color w:val="000000"/>
        </w:rPr>
        <w:t>为模板的</w:t>
      </w:r>
      <w:r>
        <w:rPr>
          <w:rFonts w:ascii="Times New Roman" w:hAnsi="Times New Roman" w:eastAsia="Times New Roman" w:cs="Times New Roman"/>
          <w:color w:val="000000"/>
        </w:rPr>
        <w:t>DNA</w:t>
      </w:r>
      <w:r>
        <w:rPr>
          <w:rFonts w:ascii="宋体" w:hAnsi="宋体" w:eastAsia="宋体" w:cs="宋体"/>
          <w:color w:val="000000"/>
        </w:rPr>
        <w:t>聚合酶</w:t>
      </w:r>
    </w:p>
    <w:p w14:paraId="04C3B16A">
      <w:pPr>
        <w:spacing w:line="360" w:lineRule="auto"/>
        <w:jc w:val="left"/>
        <w:textAlignment w:val="center"/>
        <w:rPr>
          <w:color w:val="000000"/>
        </w:rPr>
      </w:pPr>
      <w:r>
        <w:rPr>
          <w:color w:val="000000"/>
        </w:rPr>
        <w:t>（3）</w:t>
      </w:r>
      <w:r>
        <w:rPr>
          <w:rFonts w:ascii="宋体" w:hAnsi="宋体" w:eastAsia="宋体" w:cs="宋体"/>
          <w:color w:val="000000"/>
        </w:rPr>
        <w:t>某天然</w:t>
      </w:r>
      <w:r>
        <w:rPr>
          <w:rFonts w:ascii="Times New Roman" w:hAnsi="Times New Roman" w:eastAsia="Times New Roman" w:cs="Times New Roman"/>
          <w:color w:val="000000"/>
        </w:rPr>
        <w:t>β-</w:t>
      </w:r>
      <w:r>
        <w:rPr>
          <w:rFonts w:ascii="宋体" w:hAnsi="宋体" w:eastAsia="宋体" w:cs="宋体"/>
          <w:color w:val="000000"/>
        </w:rPr>
        <w:t>淀粉酶由</w:t>
      </w:r>
      <w:r>
        <w:rPr>
          <w:rFonts w:ascii="Times New Roman" w:hAnsi="Times New Roman" w:eastAsia="Times New Roman" w:cs="Times New Roman"/>
          <w:color w:val="000000"/>
        </w:rPr>
        <w:t>484</w:t>
      </w:r>
      <w:r>
        <w:rPr>
          <w:rFonts w:ascii="宋体" w:hAnsi="宋体" w:eastAsia="宋体" w:cs="宋体"/>
          <w:color w:val="000000"/>
        </w:rPr>
        <w:t>个氨基酸构成，研究发现，将该酶第</w:t>
      </w:r>
      <w:r>
        <w:rPr>
          <w:rFonts w:ascii="Times New Roman" w:hAnsi="Times New Roman" w:eastAsia="Times New Roman" w:cs="Times New Roman"/>
          <w:color w:val="000000"/>
        </w:rPr>
        <w:t>476</w:t>
      </w:r>
      <w:r>
        <w:rPr>
          <w:rFonts w:ascii="宋体" w:hAnsi="宋体" w:eastAsia="宋体" w:cs="宋体"/>
          <w:color w:val="000000"/>
        </w:rPr>
        <w:t>位天冬氨酸替换为天冬酰胺，耐热性明显提升。在图</w:t>
      </w:r>
      <w:r>
        <w:rPr>
          <w:rFonts w:ascii="Times New Roman" w:hAnsi="Times New Roman" w:eastAsia="Times New Roman" w:cs="Times New Roman"/>
          <w:color w:val="000000"/>
        </w:rPr>
        <w:t>1</w:t>
      </w:r>
      <w:r>
        <w:rPr>
          <w:rFonts w:ascii="宋体" w:hAnsi="宋体" w:eastAsia="宋体" w:cs="宋体"/>
          <w:color w:val="000000"/>
        </w:rPr>
        <w:t>所示的</w:t>
      </w:r>
      <w:r>
        <w:rPr>
          <w:rFonts w:ascii="Times New Roman" w:hAnsi="Times New Roman" w:eastAsia="Times New Roman" w:cs="Times New Roman"/>
          <w:color w:val="000000"/>
        </w:rPr>
        <w:t>β-</w:t>
      </w:r>
      <w:r>
        <w:rPr>
          <w:rFonts w:ascii="宋体" w:hAnsi="宋体" w:eastAsia="宋体" w:cs="宋体"/>
          <w:color w:val="000000"/>
        </w:rPr>
        <w:t>淀粉酶基因改造方案中，含已替换碱基的引物是</w:t>
      </w:r>
      <w:r>
        <w:rPr>
          <w:color w:val="000000"/>
        </w:rPr>
        <w:t>_____</w:t>
      </w:r>
      <w:r>
        <w:rPr>
          <w:rFonts w:ascii="宋体" w:hAnsi="宋体" w:eastAsia="宋体" w:cs="宋体"/>
          <w:color w:val="000000"/>
        </w:rPr>
        <w:t>（填写编号）。</w:t>
      </w:r>
    </w:p>
    <w:p w14:paraId="3C87C75C">
      <w:pPr>
        <w:spacing w:line="360" w:lineRule="auto"/>
        <w:jc w:val="left"/>
        <w:textAlignment w:val="center"/>
        <w:rPr>
          <w:color w:val="000000"/>
        </w:rPr>
      </w:pPr>
      <w:r>
        <w:rPr>
          <w:color w:val="000000"/>
        </w:rPr>
        <w:drawing>
          <wp:inline distT="0" distB="0" distL="114300" distR="114300">
            <wp:extent cx="4543425" cy="1724025"/>
            <wp:effectExtent l="0" t="0" r="9525"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4543425" cy="1724025"/>
                    </a:xfrm>
                    <a:prstGeom prst="rect">
                      <a:avLst/>
                    </a:prstGeom>
                  </pic:spPr>
                </pic:pic>
              </a:graphicData>
            </a:graphic>
          </wp:inline>
        </w:drawing>
      </w:r>
      <w:r>
        <w:rPr>
          <w:color w:val="000000"/>
        </w:rPr>
        <w:t xml:space="preserve">  </w:t>
      </w:r>
    </w:p>
    <w:p w14:paraId="6BB85878">
      <w:pPr>
        <w:spacing w:line="360" w:lineRule="auto"/>
        <w:jc w:val="left"/>
        <w:textAlignment w:val="center"/>
        <w:rPr>
          <w:color w:val="000000"/>
        </w:rPr>
      </w:pPr>
      <w:r>
        <w:rPr>
          <w:color w:val="000000"/>
        </w:rPr>
        <w:t>（4）</w:t>
      </w:r>
      <w:r>
        <w:rPr>
          <w:rFonts w:ascii="宋体" w:hAnsi="宋体" w:eastAsia="宋体" w:cs="宋体"/>
          <w:color w:val="000000"/>
        </w:rPr>
        <w:t>为了使上述改造后的基因能在大肠杆菌中高效表达，由图</w:t>
      </w:r>
      <w:r>
        <w:rPr>
          <w:rFonts w:ascii="Times New Roman" w:hAnsi="Times New Roman" w:eastAsia="Times New Roman" w:cs="Times New Roman"/>
          <w:color w:val="000000"/>
        </w:rPr>
        <w:t>2</w:t>
      </w:r>
      <w:r>
        <w:rPr>
          <w:rFonts w:ascii="宋体" w:hAnsi="宋体" w:eastAsia="宋体" w:cs="宋体"/>
          <w:color w:val="000000"/>
        </w:rPr>
        <w:t>所示的</w:t>
      </w:r>
      <w:r>
        <w:rPr>
          <w:rFonts w:ascii="Times New Roman" w:hAnsi="Times New Roman" w:eastAsia="Times New Roman" w:cs="Times New Roman"/>
          <w:color w:val="000000"/>
        </w:rPr>
        <w:t>pLN23</w:t>
      </w:r>
      <w:r>
        <w:rPr>
          <w:rFonts w:ascii="宋体" w:hAnsi="宋体" w:eastAsia="宋体" w:cs="宋体"/>
          <w:color w:val="000000"/>
        </w:rPr>
        <w:t>质粒构建得到基因表达载体。除图示信息外，基因表达载体中还应该有目的基因（即改造后的基因）和</w:t>
      </w:r>
      <w:r>
        <w:rPr>
          <w:color w:val="000000"/>
        </w:rPr>
        <w:t>_____</w:t>
      </w:r>
      <w:r>
        <w:rPr>
          <w:rFonts w:ascii="宋体" w:hAnsi="宋体" w:eastAsia="宋体" w:cs="宋体"/>
          <w:color w:val="000000"/>
        </w:rPr>
        <w:t>。</w:t>
      </w:r>
    </w:p>
    <w:p w14:paraId="5D73F71D">
      <w:pPr>
        <w:spacing w:line="360" w:lineRule="auto"/>
        <w:jc w:val="left"/>
        <w:textAlignment w:val="center"/>
        <w:rPr>
          <w:color w:val="000000"/>
        </w:rPr>
      </w:pPr>
      <w:r>
        <w:rPr>
          <w:color w:val="000000"/>
        </w:rPr>
        <w:drawing>
          <wp:inline distT="0" distB="0" distL="114300" distR="114300">
            <wp:extent cx="3019425" cy="153352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3019425" cy="1533525"/>
                    </a:xfrm>
                    <a:prstGeom prst="rect">
                      <a:avLst/>
                    </a:prstGeom>
                  </pic:spPr>
                </pic:pic>
              </a:graphicData>
            </a:graphic>
          </wp:inline>
        </w:drawing>
      </w:r>
      <w:r>
        <w:rPr>
          <w:color w:val="000000"/>
        </w:rPr>
        <w:t xml:space="preserve">  </w:t>
      </w:r>
    </w:p>
    <w:p w14:paraId="2E1D1B92">
      <w:pPr>
        <w:spacing w:line="360" w:lineRule="auto"/>
        <w:jc w:val="left"/>
        <w:textAlignment w:val="center"/>
        <w:rPr>
          <w:color w:val="000000"/>
        </w:rPr>
      </w:pPr>
      <w:r>
        <w:rPr>
          <w:color w:val="000000"/>
        </w:rPr>
        <w:t>（5）</w:t>
      </w:r>
      <w:r>
        <w:rPr>
          <w:rFonts w:ascii="宋体" w:hAnsi="宋体" w:eastAsia="宋体" w:cs="宋体"/>
          <w:color w:val="000000"/>
        </w:rPr>
        <w:t>目的基因（不含</w:t>
      </w:r>
      <w:r>
        <w:rPr>
          <w:rFonts w:ascii="Times New Roman" w:hAnsi="Times New Roman" w:eastAsia="Times New Roman" w:cs="Times New Roman"/>
          <w:color w:val="000000"/>
        </w:rPr>
        <w:t>EcoRI</w:t>
      </w:r>
      <w:r>
        <w:rPr>
          <w:rFonts w:ascii="宋体" w:hAnsi="宋体" w:eastAsia="宋体" w:cs="宋体"/>
          <w:color w:val="000000"/>
        </w:rPr>
        <w:t>酶切位点）全长为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5kb</w:t>
      </w:r>
      <w:r>
        <w:rPr>
          <w:rFonts w:ascii="宋体" w:hAnsi="宋体" w:eastAsia="宋体" w:cs="宋体"/>
          <w:color w:val="000000"/>
        </w:rPr>
        <w:t>，将其插入</w:t>
      </w:r>
      <w:r>
        <w:rPr>
          <w:rFonts w:ascii="Times New Roman" w:hAnsi="Times New Roman" w:eastAsia="Times New Roman" w:cs="Times New Roman"/>
          <w:color w:val="000000"/>
        </w:rPr>
        <w:t>BamH I</w:t>
      </w:r>
      <w:r>
        <w:rPr>
          <w:rFonts w:ascii="宋体" w:hAnsi="宋体" w:eastAsia="宋体" w:cs="宋体"/>
          <w:color w:val="000000"/>
        </w:rPr>
        <w:t>位点。用</w:t>
      </w:r>
      <w:r>
        <w:rPr>
          <w:rFonts w:ascii="Times New Roman" w:hAnsi="Times New Roman" w:eastAsia="Times New Roman" w:cs="Times New Roman"/>
          <w:color w:val="000000"/>
        </w:rPr>
        <w:t>EcoR I</w:t>
      </w:r>
      <w:r>
        <w:rPr>
          <w:rFonts w:ascii="宋体" w:hAnsi="宋体" w:eastAsia="宋体" w:cs="宋体"/>
          <w:color w:val="000000"/>
        </w:rPr>
        <w:t>酶切来自于不同大肠杆菌菌落的质粒</w:t>
      </w:r>
      <w:r>
        <w:rPr>
          <w:rFonts w:ascii="Times New Roman" w:hAnsi="Times New Roman" w:eastAsia="Times New Roman" w:cs="Times New Roman"/>
          <w:color w:val="000000"/>
        </w:rPr>
        <w:t>DNA</w:t>
      </w:r>
      <w:r>
        <w:rPr>
          <w:rFonts w:ascii="宋体" w:hAnsi="宋体" w:eastAsia="宋体" w:cs="宋体"/>
          <w:color w:val="000000"/>
        </w:rPr>
        <w:t>，经琼脂糖凝胶电泳确定</w:t>
      </w:r>
      <w:r>
        <w:rPr>
          <w:rFonts w:ascii="Times New Roman" w:hAnsi="Times New Roman" w:eastAsia="Times New Roman" w:cs="Times New Roman"/>
          <w:color w:val="000000"/>
        </w:rPr>
        <w:t>DNA</w:t>
      </w:r>
      <w:r>
        <w:rPr>
          <w:rFonts w:ascii="宋体" w:hAnsi="宋体" w:eastAsia="宋体" w:cs="宋体"/>
          <w:color w:val="000000"/>
        </w:rPr>
        <w:t>片段长度，这一操作的目的是</w:t>
      </w:r>
      <w:r>
        <w:rPr>
          <w:color w:val="000000"/>
        </w:rPr>
        <w:t>_____</w:t>
      </w:r>
      <w:r>
        <w:rPr>
          <w:rFonts w:ascii="宋体" w:hAnsi="宋体" w:eastAsia="宋体" w:cs="宋体"/>
          <w:color w:val="000000"/>
        </w:rPr>
        <w:t>。正确连接的基因表达载体被</w:t>
      </w:r>
      <w:r>
        <w:rPr>
          <w:rFonts w:ascii="Times New Roman" w:hAnsi="Times New Roman" w:eastAsia="Times New Roman" w:cs="Times New Roman"/>
          <w:color w:val="000000"/>
        </w:rPr>
        <w:t xml:space="preserve">EcoR </w:t>
      </w:r>
      <w:r>
        <w:rPr>
          <w:rFonts w:ascii="宋体" w:hAnsi="宋体" w:eastAsia="宋体" w:cs="宋体"/>
          <w:color w:val="000000"/>
        </w:rPr>
        <w:t>Ⅰ酶切后长度为</w:t>
      </w:r>
      <w:r>
        <w:rPr>
          <w:color w:val="000000"/>
        </w:rPr>
        <w:t>_____</w:t>
      </w:r>
      <w:r>
        <w:rPr>
          <w:rFonts w:ascii="Times New Roman" w:hAnsi="Times New Roman" w:eastAsia="Times New Roman" w:cs="Times New Roman"/>
          <w:color w:val="000000"/>
        </w:rPr>
        <w:t>kb</w:t>
      </w:r>
      <w:r>
        <w:rPr>
          <w:rFonts w:ascii="宋体" w:hAnsi="宋体" w:eastAsia="宋体" w:cs="宋体"/>
          <w:color w:val="000000"/>
        </w:rPr>
        <w:t>。</w:t>
      </w:r>
    </w:p>
    <w:p w14:paraId="5C733DC2">
      <w:pPr>
        <w:spacing w:line="360" w:lineRule="auto"/>
        <w:jc w:val="left"/>
        <w:textAlignment w:val="center"/>
        <w:rPr>
          <w:color w:val="000000"/>
        </w:rPr>
      </w:pPr>
      <w:r>
        <w:rPr>
          <w:color w:val="000000"/>
        </w:rPr>
        <w:t>（6）</w:t>
      </w:r>
      <w:r>
        <w:rPr>
          <w:rFonts w:ascii="宋体" w:hAnsi="宋体" w:eastAsia="宋体" w:cs="宋体"/>
          <w:color w:val="000000"/>
        </w:rPr>
        <w:t>采用</w:t>
      </w:r>
      <w:r>
        <w:rPr>
          <w:rFonts w:ascii="Times New Roman" w:hAnsi="Times New Roman" w:eastAsia="Times New Roman" w:cs="Times New Roman"/>
          <w:color w:val="000000"/>
        </w:rPr>
        <w:t>PCR</w:t>
      </w:r>
      <w:r>
        <w:rPr>
          <w:rFonts w:ascii="宋体" w:hAnsi="宋体" w:eastAsia="宋体" w:cs="宋体"/>
          <w:color w:val="000000"/>
        </w:rPr>
        <w:t>还能在分子水平上确定目的基因是否转录，根据中心法则，可通过</w:t>
      </w:r>
      <w:r>
        <w:rPr>
          <w:color w:val="000000"/>
        </w:rPr>
        <w:t>_____</w:t>
      </w:r>
      <w:r>
        <w:rPr>
          <w:rFonts w:ascii="宋体" w:hAnsi="宋体" w:eastAsia="宋体" w:cs="宋体"/>
          <w:color w:val="000000"/>
        </w:rPr>
        <w:t>反应获得</w:t>
      </w:r>
      <w:r>
        <w:rPr>
          <w:rFonts w:ascii="Times New Roman" w:hAnsi="Times New Roman" w:eastAsia="Times New Roman" w:cs="Times New Roman"/>
          <w:color w:val="000000"/>
        </w:rPr>
        <w:t>PCR</w:t>
      </w:r>
      <w:r>
        <w:rPr>
          <w:rFonts w:ascii="宋体" w:hAnsi="宋体" w:eastAsia="宋体" w:cs="宋体"/>
          <w:color w:val="000000"/>
        </w:rPr>
        <w:t>的模板。</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Segoe UI Symbol">
    <w:panose1 w:val="020B0502040204020203"/>
    <w:charset w:val="00"/>
    <w:family w:val="auto"/>
    <w:pitch w:val="default"/>
    <w:sig w:usb0="8000006F" w:usb1="1200FBEF" w:usb2="0064C000" w:usb3="00000002" w:csb0="00000001" w:csb1="40000000"/>
  </w:font>
  <w:font w:name="Cambria Math">
    <w:panose1 w:val="02040503050406030204"/>
    <w:charset w:val="01"/>
    <w:family w:val="roman"/>
    <w:pitch w:val="default"/>
    <w:sig w:usb0="E00002FF" w:usb1="42002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8B6AD7">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55FD9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FBD44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9E303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5815F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E5AAB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NkOGZkOWU2NWZhMzZhNDZmMjRmYjAyYjQ0ZmMyNjg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E2F7A82"/>
    <w:rsid w:val="213943B7"/>
    <w:rsid w:val="38274566"/>
    <w:rsid w:val="431C4293"/>
    <w:rsid w:val="5C2151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9"/>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4">
    <w:name w:val="Normal (Web)"/>
    <w:basedOn w:val="1"/>
    <w:qFormat/>
    <w:uiPriority w:val="0"/>
    <w:pPr>
      <w:spacing w:before="0" w:beforeAutospacing="1" w:after="0" w:afterAutospacing="1"/>
      <w:ind w:left="0" w:right="0"/>
      <w:jc w:val="left"/>
    </w:pPr>
    <w:rPr>
      <w:kern w:val="0"/>
      <w:sz w:val="24"/>
      <w:lang w:val="en-US" w:eastAsia="zh-CN" w:bidi="ar"/>
    </w:rPr>
  </w:style>
  <w:style w:type="character" w:styleId="7">
    <w:name w:val="Strong"/>
    <w:basedOn w:val="6"/>
    <w:qFormat/>
    <w:uiPriority w:val="0"/>
    <w:rPr>
      <w:b/>
    </w:rPr>
  </w:style>
  <w:style w:type="character" w:styleId="8">
    <w:name w:val="Hyperlink"/>
    <w:basedOn w:val="6"/>
    <w:unhideWhenUsed/>
    <w:qFormat/>
    <w:uiPriority w:val="99"/>
    <w:rPr>
      <w:color w:val="0000FF"/>
      <w:u w:val="single"/>
    </w:rPr>
  </w:style>
  <w:style w:type="character" w:customStyle="1" w:styleId="9">
    <w:name w:val="页眉 Char"/>
    <w:basedOn w:val="6"/>
    <w:link w:val="3"/>
    <w:qFormat/>
    <w:uiPriority w:val="99"/>
    <w:rPr>
      <w:kern w:val="2"/>
      <w:sz w:val="18"/>
      <w:szCs w:val="24"/>
    </w:rPr>
  </w:style>
  <w:style w:type="paragraph" w:styleId="10">
    <w:name w:val="No Spacing"/>
    <w:qFormat/>
    <w:uiPriority w:val="1"/>
    <w:rPr>
      <w:rFonts w:eastAsia="Microsoft YaHei UI" w:asciiTheme="minorHAnsi" w:hAnsiTheme="minorHAnsi" w:cstheme="minorBidi"/>
      <w:sz w:val="22"/>
      <w:szCs w:val="22"/>
      <w:lang w:val="en-US" w:eastAsia="zh-CN" w:bidi="ar-SA"/>
    </w:rPr>
  </w:style>
  <w:style w:type="paragraph" w:styleId="11">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Pages>12</Pages>
  <Words>5682</Words>
  <Characters>6301</Characters>
  <Lines>0</Lines>
  <Paragraphs>0</Paragraphs>
  <TotalTime>0</TotalTime>
  <ScaleCrop>false</ScaleCrop>
  <LinksUpToDate>false</LinksUpToDate>
  <CharactersWithSpaces>6535</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2024-07-07T02:54:00Z</dcterms:created>
  <dc:creator>Administrator</dc:creator>
  <cp:lastModifiedBy>上帝掷骰子吗</cp:lastModifiedBy>
  <dcterms:modified xsi:type="dcterms:W3CDTF">2026-02-10T06:57:34Z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6C47E70252BC4348B64AE927162B7ED4_12</vt:lpwstr>
  </property>
  <property fmtid="{D5CDD505-2E9C-101B-9397-08002B2CF9AE}" pid="4" name="KSOTemplateDocerSaveRecord">
    <vt:lpwstr>eyJoZGlkIjoiMjljNjk0N2RhMTc0NzI3ZTQwZWEyZWMyMzA2NzliMDQiLCJ1c2VySWQiOiI3ODUwOTA2ODcifQ==</vt:lpwstr>
  </property>
</Properties>
</file>