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058029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12534900</wp:posOffset>
            </wp:positionH>
            <wp:positionV relativeFrom="topMargin">
              <wp:posOffset>12052300</wp:posOffset>
            </wp:positionV>
            <wp:extent cx="330200" cy="444500"/>
            <wp:effectExtent l="0" t="0" r="12700" b="12700"/>
            <wp:wrapNone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年普通高等学校招生全国统一考试</w:t>
      </w:r>
    </w:p>
    <w:p w14:paraId="52DC8677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生物重庆卷</w:t>
      </w:r>
    </w:p>
    <w:p w14:paraId="634ECED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45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302CC182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下列细胞结构中，对真核细胞合成多肽链，作用最小的是（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2495C02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高尔基体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线粒体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核糖体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细胞核</w:t>
      </w:r>
    </w:p>
    <w:p w14:paraId="0250B9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几丁质是昆虫外骨骼和真菌细胞壁的重要成分。中国科学家首次解析了几丁质合成酶的结构，进一步阐明了几丁质合成的过程，该研究结果在农业生产上具有重要意义。下列叙述错误的是（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50408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43500" cy="15621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806A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细胞核是真菌合成几丁质的控制中心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几丁质是由多个单体构成的多糖物质</w:t>
      </w:r>
    </w:p>
    <w:p w14:paraId="62BC792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细胞通过跨膜运输将几丁质运到胞外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几丁质合成酶抑制剂可用于防治病虫害</w:t>
      </w:r>
    </w:p>
    <w:p w14:paraId="4DD440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某团队用果蝇研究了高蛋白饮食促进深度睡眠的机制，发现肠道中的蛋白质促进肠道上皮细胞分泌神经肽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，最终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作用于大脑相关神经元，利于果蝇保持睡眠状态。下列叙述正确的是（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7C900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蛋白质作用于肠道上皮细胞的过程发生在内环境</w:t>
      </w:r>
    </w:p>
    <w:p w14:paraId="5E058C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肠道上皮细胞分泌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会使细胞膜的表面积减小</w:t>
      </w:r>
    </w:p>
    <w:p w14:paraId="115F80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肠道中的蛋白质增加使血液中的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含量减少</w:t>
      </w:r>
    </w:p>
    <w:p w14:paraId="6F6E54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若果蝇神经元上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受体减少，则容易从睡眠中醒来</w:t>
      </w:r>
    </w:p>
    <w:p w14:paraId="4543BE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研究放牧强度对草原群落特征的影响，对合理利用草原和防止荒漠化具有重要意义。下表为某高寒草原在不同放牧强度下的植物群落调查数据。下列叙述错误的是（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870"/>
        <w:gridCol w:w="1800"/>
        <w:gridCol w:w="2582"/>
      </w:tblGrid>
      <w:tr w14:paraId="000758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C4B1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放牧强度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05A5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物种数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33A1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生产力（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t·hm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-2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C3D1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土壤有机碳含量（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g·m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-3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</w:tr>
      <w:tr w14:paraId="5A44BB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9F142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3F8F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CE017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21619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8472</w:t>
            </w:r>
          </w:p>
        </w:tc>
      </w:tr>
      <w:tr w14:paraId="42756D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02BF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轻度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6A342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B0A77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4174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9693</w:t>
            </w:r>
          </w:p>
        </w:tc>
      </w:tr>
      <w:tr w14:paraId="1C7EE7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DE57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中度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6A3F6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182C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70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BE822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9388</w:t>
            </w:r>
          </w:p>
        </w:tc>
      </w:tr>
      <w:tr w14:paraId="72B803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241C8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重度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8BB9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BA0D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34F0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7815</w:t>
            </w:r>
          </w:p>
        </w:tc>
      </w:tr>
    </w:tbl>
    <w:p w14:paraId="6776BB74">
      <w:pPr>
        <w:spacing w:line="360" w:lineRule="auto"/>
        <w:jc w:val="left"/>
        <w:textAlignment w:val="center"/>
        <w:rPr>
          <w:color w:val="000000"/>
        </w:rPr>
      </w:pPr>
    </w:p>
    <w:p w14:paraId="4FF8F1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中度放牧和无放牧下生产力不同，可能是物种组成不同所致</w:t>
      </w:r>
    </w:p>
    <w:p w14:paraId="74E9FB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重度放牧下土壤有机碳含量降低是分解者的分解过程加快所致</w:t>
      </w:r>
    </w:p>
    <w:p w14:paraId="1A8254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放牧可能导致群落优势种改变且重度放牧下的优势种更加耐旱</w:t>
      </w:r>
    </w:p>
    <w:p w14:paraId="561574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适度放牧是保护草原生物多样性和践行绿色发展理念的有效措施</w:t>
      </w:r>
    </w:p>
    <w:p w14:paraId="387621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果蝇有翅（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）对无翅（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）为显性。在某实验室繁育的果蝇种群中，部分无翅果蝇胚胎被转入小鼠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基因后（不整合到基因组），会发育成有翅果蝇，随后被放回原种群。下列推测不合理的是（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C4E648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基因在不同物种中功能可能不同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基因序列可能具有高度相似性</w:t>
      </w:r>
    </w:p>
    <w:p w14:paraId="1686277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种群中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基因频率可能保持相对恒定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转入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基因的果蝇可能决定该种群朝有翅方向进化</w:t>
      </w:r>
    </w:p>
    <w:p w14:paraId="65CF61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某人头部受伤后出现食欲不振、乏力等症状，经检查后被诊断为抗利尿激素（</w:t>
      </w:r>
      <w:r>
        <w:rPr>
          <w:rFonts w:ascii="Times New Roman" w:hAnsi="Times New Roman" w:eastAsia="Times New Roman" w:cs="Times New Roman"/>
          <w:color w:val="000000"/>
        </w:rPr>
        <w:t>ADH</w:t>
      </w:r>
      <w:r>
        <w:rPr>
          <w:rFonts w:ascii="宋体" w:hAnsi="宋体" w:eastAsia="宋体" w:cs="宋体"/>
          <w:color w:val="000000"/>
        </w:rPr>
        <w:t>）分泌失调综合征，其部分化验结果见表。下列关于该患者的叙述，错误的是（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40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57"/>
        <w:gridCol w:w="1303"/>
        <w:gridCol w:w="1760"/>
      </w:tblGrid>
      <w:tr w14:paraId="3DE778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B215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项目名称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E5DD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D22CE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参考值</w:t>
            </w:r>
          </w:p>
        </w:tc>
      </w:tr>
      <w:tr w14:paraId="20A159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EACFA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血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ADH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139C4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9Pmol/L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3F58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3-7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4pmol/L</w:t>
            </w:r>
          </w:p>
        </w:tc>
      </w:tr>
      <w:tr w14:paraId="088DB0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3B8A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血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</w:t>
            </w:r>
            <w:r>
              <w:rPr>
                <w:color w:val="000000"/>
                <w:vertAlign w:val="superscript"/>
              </w:rPr>
              <w:t>+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175D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125mmol/L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DCB4D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137-147mmol/L</w:t>
            </w:r>
          </w:p>
        </w:tc>
      </w:tr>
      <w:tr w14:paraId="5A2E68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9BAF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血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K</w:t>
            </w:r>
            <w:r>
              <w:rPr>
                <w:color w:val="000000"/>
                <w:vertAlign w:val="superscript"/>
              </w:rPr>
              <w:t>+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AB67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2mmol/L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BE85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5-5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3mmol/L</w:t>
            </w:r>
          </w:p>
        </w:tc>
      </w:tr>
    </w:tbl>
    <w:p w14:paraId="28048556">
      <w:pPr>
        <w:spacing w:line="360" w:lineRule="auto"/>
        <w:jc w:val="left"/>
        <w:textAlignment w:val="center"/>
        <w:rPr>
          <w:color w:val="000000"/>
        </w:rPr>
      </w:pPr>
    </w:p>
    <w:p w14:paraId="087662A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下丘脑或垂体可能受到损伤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血液中的红细胞出现吸水</w:t>
      </w:r>
    </w:p>
    <w:p w14:paraId="7C00BA7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饮用清水能使尿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color w:val="000000"/>
          <w:vertAlign w:val="superscript"/>
        </w:rPr>
        <w:t>+</w:t>
      </w:r>
      <w:r>
        <w:rPr>
          <w:rFonts w:ascii="宋体" w:hAnsi="宋体" w:eastAsia="宋体" w:cs="宋体"/>
          <w:color w:val="000000"/>
        </w:rPr>
        <w:t>浓度恢复正常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细胞外液对渗透压感受器的刺激较受伤前减少</w:t>
      </w:r>
    </w:p>
    <w:p w14:paraId="7CBE81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某兴趣小组利用图示装置和表中试剂探究了透析袋的透性。当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为①、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为⑤，袋内溶液逐渐变为蓝色；当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为②、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为③，水浴（</w:t>
      </w:r>
      <w:r>
        <w:rPr>
          <w:rFonts w:ascii="Times New Roman" w:hAnsi="Times New Roman" w:eastAsia="Times New Roman" w:cs="Times New Roman"/>
          <w:color w:val="000000"/>
        </w:rPr>
        <w:t>55</w:t>
      </w:r>
      <w:r>
        <w:rPr>
          <w:rFonts w:ascii="宋体" w:hAnsi="宋体" w:eastAsia="宋体" w:cs="宋体"/>
          <w:color w:val="000000"/>
        </w:rPr>
        <w:t>℃）后透析袋内、外均不出现砖红色。下列叙述正确的是（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11FFC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81200" cy="15144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30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89"/>
        <w:gridCol w:w="2411"/>
      </w:tblGrid>
      <w:tr w14:paraId="407620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A162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编号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9D51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试剂</w:t>
            </w:r>
          </w:p>
        </w:tc>
      </w:tr>
      <w:tr w14:paraId="34753E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6BFF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80B05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质量分数为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3%</w:t>
            </w:r>
            <w:r>
              <w:rPr>
                <w:rFonts w:ascii="宋体" w:hAnsi="宋体" w:eastAsia="宋体" w:cs="宋体"/>
                <w:color w:val="000000"/>
              </w:rPr>
              <w:t>的可溶性淀粉溶液</w:t>
            </w:r>
          </w:p>
        </w:tc>
      </w:tr>
      <w:tr w14:paraId="60274B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1B35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F9165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质量分数为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5%</w:t>
            </w:r>
            <w:r>
              <w:rPr>
                <w:rFonts w:ascii="宋体" w:hAnsi="宋体" w:eastAsia="宋体" w:cs="宋体"/>
                <w:color w:val="000000"/>
              </w:rPr>
              <w:t>的葡萄糖溶液</w:t>
            </w:r>
          </w:p>
        </w:tc>
      </w:tr>
      <w:tr w14:paraId="7E30A1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DBBD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AF3C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斐林试剂</w:t>
            </w:r>
          </w:p>
        </w:tc>
      </w:tr>
      <w:tr w14:paraId="20DE47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0D52E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E1040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淀粉酶溶液</w:t>
            </w:r>
          </w:p>
        </w:tc>
      </w:tr>
      <w:tr w14:paraId="47C14E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1019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D2A11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碘溶液（棕红色）</w:t>
            </w:r>
          </w:p>
        </w:tc>
      </w:tr>
    </w:tbl>
    <w:p w14:paraId="331E26D3">
      <w:pPr>
        <w:spacing w:line="360" w:lineRule="auto"/>
        <w:jc w:val="left"/>
        <w:textAlignment w:val="center"/>
        <w:rPr>
          <w:color w:val="000000"/>
        </w:rPr>
      </w:pPr>
    </w:p>
    <w:p w14:paraId="7653EF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为①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②、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为③，水浴后透析袋外最终会出现砖红色</w:t>
      </w:r>
    </w:p>
    <w:p w14:paraId="24005B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为①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②、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为⑤，透析袋外的溶液最终会出现蓝色</w:t>
      </w:r>
    </w:p>
    <w:p w14:paraId="7F1204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为①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④、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为⑤，透析袋内的溶液最终会出现棕红色</w:t>
      </w:r>
    </w:p>
    <w:p w14:paraId="7709A7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为①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④、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为③，水浴后透析袋内最终会出现砖红色</w:t>
      </w:r>
    </w:p>
    <w:p w14:paraId="598D42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我国学者首次揭示了夜间光照影响血糖代谢的机制。健康受试者于夜间分别在某波长光照和黑暗条件下口服等量葡萄糖，然后在不同时间检测血糖水平（图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）。夜间光照影响血糖代谢的过程如图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所示。下列叙述错误的是（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A01FE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52875" cy="17145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616A0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在夜间光照条件下，受试者血糖代谢的调节方式是神经调节</w:t>
      </w:r>
    </w:p>
    <w:p w14:paraId="011A6C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与夜间黑暗条件相比，光照条件下受试者利用葡萄糖的速率下降</w:t>
      </w:r>
    </w:p>
    <w:p w14:paraId="5694FB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若受试者棕色脂肪组织的代谢被抑制，则图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两条曲线趋于重叠</w:t>
      </w:r>
    </w:p>
    <w:p w14:paraId="5346F7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长期熬夜的不良生活方式可增加患糖代谢相关疾病的风险</w:t>
      </w:r>
    </w:p>
    <w:p w14:paraId="00CF3B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垃圾分类有利于变废为宝，减少环境污染。如图为分类后餐厨垃圾资源化处理的流程设计。下列叙述错误的是（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1616B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86300" cy="6858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6BFDF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压榨出的油水混合物可再加工，生产出多种产品</w:t>
      </w:r>
    </w:p>
    <w:p w14:paraId="7CAEF7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添加的木屑有利于堆肥体通气，还可作为某些微生物的碳源</w:t>
      </w:r>
    </w:p>
    <w:p w14:paraId="032563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中需要添加合适的菌种，才能产生沼气</w:t>
      </w:r>
    </w:p>
    <w:p w14:paraId="686114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为保证堆肥体中微生物的活性，不宜对堆肥体进行翻动</w:t>
      </w:r>
    </w:p>
    <w:p w14:paraId="2A1CE2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哺乳动物可利用食物中的</w:t>
      </w:r>
      <w:r>
        <w:rPr>
          <w:rFonts w:ascii="Times New Roman" w:hAnsi="Times New Roman" w:eastAsia="Times New Roman" w:cs="Times New Roman"/>
          <w:color w:val="000000"/>
        </w:rPr>
        <w:t>NAM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宋体" w:hAnsi="宋体" w:eastAsia="宋体" w:cs="宋体"/>
          <w:color w:val="000000"/>
        </w:rPr>
        <w:t>合成</w:t>
      </w:r>
      <w:r>
        <w:rPr>
          <w:rFonts w:ascii="Times New Roman" w:hAnsi="Times New Roman" w:eastAsia="Times New Roman" w:cs="Times New Roman"/>
          <w:color w:val="000000"/>
        </w:rPr>
        <w:t>NAD</w:t>
      </w:r>
      <w:r>
        <w:rPr>
          <w:color w:val="000000"/>
          <w:vertAlign w:val="superscript"/>
        </w:rPr>
        <w:t>+</w:t>
      </w:r>
      <w:r>
        <w:rPr>
          <w:rFonts w:ascii="宋体" w:hAnsi="宋体" w:eastAsia="宋体" w:cs="宋体"/>
          <w:color w:val="000000"/>
        </w:rPr>
        <w:t>，进而转化为</w:t>
      </w:r>
      <w:r>
        <w:rPr>
          <w:rFonts w:ascii="Times New Roman" w:hAnsi="Times New Roman" w:eastAsia="Times New Roman" w:cs="Times New Roman"/>
          <w:color w:val="000000"/>
        </w:rPr>
        <w:t>NADH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[H]</w:t>
      </w:r>
      <w:r>
        <w:rPr>
          <w:rFonts w:ascii="宋体" w:hAnsi="宋体" w:eastAsia="宋体" w:cs="宋体"/>
          <w:color w:val="000000"/>
        </w:rPr>
        <w:t>）。研究者以小鼠为模型，探究了哺乳动物与肠道菌群之间</w:t>
      </w:r>
      <w:r>
        <w:rPr>
          <w:rFonts w:ascii="Times New Roman" w:hAnsi="Times New Roman" w:eastAsia="Times New Roman" w:cs="Times New Roman"/>
          <w:color w:val="000000"/>
        </w:rPr>
        <w:t>NAD</w:t>
      </w:r>
      <w:r>
        <w:rPr>
          <w:color w:val="000000"/>
          <w:vertAlign w:val="superscript"/>
        </w:rPr>
        <w:t>+</w:t>
      </w:r>
      <w:r>
        <w:rPr>
          <w:rFonts w:ascii="宋体" w:hAnsi="宋体" w:eastAsia="宋体" w:cs="宋体"/>
          <w:color w:val="000000"/>
        </w:rPr>
        <w:t>代谢的关系，如图所示。下列叙述错误的是（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B56E3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38675" cy="17811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9EF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静脉注射标记的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宋体" w:hAnsi="宋体" w:eastAsia="宋体" w:cs="宋体"/>
          <w:color w:val="000000"/>
        </w:rPr>
        <w:t>，肠腔内会出现标记的</w:t>
      </w:r>
      <w:r>
        <w:rPr>
          <w:rFonts w:ascii="Times New Roman" w:hAnsi="Times New Roman" w:eastAsia="Times New Roman" w:cs="Times New Roman"/>
          <w:color w:val="000000"/>
        </w:rPr>
        <w:t>NAM</w:t>
      </w:r>
    </w:p>
    <w:p w14:paraId="586584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静脉注射标记的</w:t>
      </w:r>
      <w:r>
        <w:rPr>
          <w:rFonts w:ascii="Times New Roman" w:hAnsi="Times New Roman" w:eastAsia="Times New Roman" w:cs="Times New Roman"/>
          <w:color w:val="000000"/>
        </w:rPr>
        <w:t>NAM</w:t>
      </w:r>
      <w:r>
        <w:rPr>
          <w:rFonts w:ascii="宋体" w:hAnsi="宋体" w:eastAsia="宋体" w:cs="宋体"/>
          <w:color w:val="000000"/>
        </w:rPr>
        <w:t>，细胞质基质会出现标记的</w:t>
      </w:r>
      <w:r>
        <w:rPr>
          <w:rFonts w:ascii="Times New Roman" w:hAnsi="Times New Roman" w:eastAsia="Times New Roman" w:cs="Times New Roman"/>
          <w:color w:val="000000"/>
        </w:rPr>
        <w:t>NADH</w:t>
      </w:r>
    </w:p>
    <w:p w14:paraId="4D4CC0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食物中缺乏</w:t>
      </w:r>
      <w:r>
        <w:rPr>
          <w:rFonts w:ascii="Times New Roman" w:hAnsi="Times New Roman" w:eastAsia="Times New Roman" w:cs="Times New Roman"/>
          <w:color w:val="000000"/>
        </w:rPr>
        <w:t>NAM</w:t>
      </w:r>
      <w:r>
        <w:rPr>
          <w:rFonts w:ascii="宋体" w:hAnsi="宋体" w:eastAsia="宋体" w:cs="宋体"/>
          <w:color w:val="000000"/>
        </w:rPr>
        <w:t>时，组织细胞仍可用</w:t>
      </w:r>
      <w:r>
        <w:rPr>
          <w:rFonts w:ascii="Times New Roman" w:hAnsi="Times New Roman" w:eastAsia="Times New Roman" w:cs="Times New Roman"/>
          <w:color w:val="000000"/>
        </w:rPr>
        <w:t>NAM</w:t>
      </w:r>
      <w:r>
        <w:rPr>
          <w:rFonts w:ascii="宋体" w:hAnsi="宋体" w:eastAsia="宋体" w:cs="宋体"/>
          <w:color w:val="000000"/>
        </w:rPr>
        <w:t>合成</w:t>
      </w:r>
      <w:r>
        <w:rPr>
          <w:rFonts w:ascii="Times New Roman" w:hAnsi="Times New Roman" w:eastAsia="Times New Roman" w:cs="Times New Roman"/>
          <w:color w:val="000000"/>
        </w:rPr>
        <w:t>NAD</w:t>
      </w:r>
      <w:r>
        <w:rPr>
          <w:color w:val="000000"/>
          <w:vertAlign w:val="superscript"/>
        </w:rPr>
        <w:t>+</w:t>
      </w:r>
    </w:p>
    <w:p w14:paraId="6E2DB7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肠道中的厌氧菌合成</w:t>
      </w:r>
      <w:r>
        <w:rPr>
          <w:rFonts w:ascii="Times New Roman" w:hAnsi="Times New Roman" w:eastAsia="Times New Roman" w:cs="Times New Roman"/>
          <w:color w:val="000000"/>
        </w:rPr>
        <w:t>ATP</w:t>
      </w:r>
      <w:r>
        <w:rPr>
          <w:rFonts w:ascii="宋体" w:hAnsi="宋体" w:eastAsia="宋体" w:cs="宋体"/>
          <w:color w:val="000000"/>
        </w:rPr>
        <w:t>所需的能量主要来自于</w:t>
      </w:r>
      <w:r>
        <w:rPr>
          <w:rFonts w:ascii="Times New Roman" w:hAnsi="Times New Roman" w:eastAsia="Times New Roman" w:cs="Times New Roman"/>
          <w:color w:val="000000"/>
        </w:rPr>
        <w:t>NADH</w:t>
      </w:r>
    </w:p>
    <w:p w14:paraId="331FCF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为研究马铃薯贮藏时间与内源激素含量之间的关系，研究人员测定了马铃薯块茎贮藏期间在不同温度条件下的发芽率（图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），以及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℃条件下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种内源激素的含量（图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）。下列叙述正确的是（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80025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099945"/>
            <wp:effectExtent l="0" t="0" r="0" b="1460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100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44D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贮藏第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天时，</w:t>
      </w:r>
      <w:r>
        <w:rPr>
          <w:rFonts w:ascii="Times New Roman" w:hAnsi="Times New Roman" w:eastAsia="Times New Roman" w:cs="Times New Roman"/>
          <w:color w:val="000000"/>
        </w:rPr>
        <w:t>4℃</w:t>
      </w:r>
      <w:r>
        <w:rPr>
          <w:rFonts w:ascii="宋体" w:hAnsi="宋体" w:eastAsia="宋体" w:cs="宋体"/>
          <w:color w:val="000000"/>
        </w:rPr>
        <w:t>下马铃薯块茎脱落酸含量可能高于</w:t>
      </w:r>
      <w:r>
        <w:rPr>
          <w:rFonts w:ascii="Times New Roman" w:hAnsi="Times New Roman" w:eastAsia="Times New Roman" w:cs="Times New Roman"/>
          <w:color w:val="000000"/>
        </w:rPr>
        <w:t>20℃</w:t>
      </w:r>
    </w:p>
    <w:p w14:paraId="26E5A2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马铃薯块茎贮藏期间，赤霉素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脱落酸比值高抑制发芽</w:t>
      </w:r>
    </w:p>
    <w:p w14:paraId="62AA2A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降低温度或喷洒赤霉素均可延长马铃薯块茎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贮藏时间</w:t>
      </w:r>
    </w:p>
    <w:p w14:paraId="7880AA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下贮藏</w:t>
      </w:r>
      <w:r>
        <w:rPr>
          <w:rFonts w:ascii="Times New Roman" w:hAnsi="Times New Roman" w:eastAsia="Times New Roman" w:cs="Times New Roman"/>
          <w:color w:val="000000"/>
        </w:rPr>
        <w:t>120</w:t>
      </w:r>
      <w:r>
        <w:rPr>
          <w:rFonts w:ascii="宋体" w:hAnsi="宋体" w:eastAsia="宋体" w:cs="宋体"/>
          <w:color w:val="000000"/>
        </w:rPr>
        <w:t>天后，赤霉素促进马铃薯芽生长的作用大于生长素</w:t>
      </w:r>
    </w:p>
    <w:p w14:paraId="6D7C59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某小组通过</w:t>
      </w:r>
      <w:r>
        <w:rPr>
          <w:rFonts w:ascii="Times New Roman" w:hAnsi="Times New Roman" w:eastAsia="Times New Roman" w:cs="Times New Roman"/>
          <w:color w:val="000000"/>
        </w:rPr>
        <w:t>PCR</w:t>
      </w:r>
      <w:r>
        <w:rPr>
          <w:rFonts w:ascii="宋体" w:hAnsi="宋体" w:eastAsia="宋体" w:cs="宋体"/>
          <w:color w:val="000000"/>
        </w:rPr>
        <w:t>（假设引物长度为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个碱基短于实际长度）获得了含有目的基因的</w:t>
      </w:r>
      <w:r>
        <w:rPr>
          <w:rFonts w:ascii="Times New Roman" w:hAnsi="Times New Roman" w:eastAsia="Times New Roman" w:cs="Times New Roman"/>
          <w:color w:val="000000"/>
        </w:rPr>
        <w:t>DNA</w:t>
      </w:r>
      <w:r>
        <w:rPr>
          <w:rFonts w:ascii="宋体" w:hAnsi="宋体" w:eastAsia="宋体" w:cs="宋体"/>
          <w:color w:val="000000"/>
        </w:rPr>
        <w:t>片段，并用限制酶进行酶切（下图），再用所得片段成功构建了基因表达载体。下列叙述错误的是（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3B991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14925" cy="19335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7AA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其中一个引物序列为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＇</w:t>
      </w:r>
      <w:r>
        <w:rPr>
          <w:rFonts w:ascii="Times New Roman" w:hAnsi="Times New Roman" w:eastAsia="Times New Roman" w:cs="Times New Roman"/>
          <w:color w:val="000000"/>
        </w:rPr>
        <w:t>TGCGCAGT-3</w:t>
      </w:r>
      <w:r>
        <w:rPr>
          <w:rFonts w:ascii="宋体" w:hAnsi="宋体" w:eastAsia="宋体" w:cs="宋体"/>
          <w:color w:val="000000"/>
        </w:rPr>
        <w:t>＇</w:t>
      </w:r>
    </w:p>
    <w:p w14:paraId="76141D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步骤①所用的酶是</w:t>
      </w:r>
      <w:r>
        <w:rPr>
          <w:rFonts w:ascii="Times New Roman" w:hAnsi="Times New Roman" w:eastAsia="Times New Roman" w:cs="Times New Roman"/>
          <w:color w:val="000000"/>
        </w:rPr>
        <w:t>SpeI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CfoI</w:t>
      </w:r>
    </w:p>
    <w:p w14:paraId="56A75E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用步骤①的酶对载体进行酶切，至少获得了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个片段</w:t>
      </w:r>
    </w:p>
    <w:p w14:paraId="6234A1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酶切片段和载体连接时，可使用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coli</w:t>
      </w:r>
      <w:r>
        <w:rPr>
          <w:rFonts w:ascii="宋体" w:hAnsi="宋体" w:eastAsia="宋体" w:cs="宋体"/>
          <w:color w:val="000000"/>
        </w:rPr>
        <w:t>连接酶或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连接酶</w:t>
      </w:r>
    </w:p>
    <w:p w14:paraId="1C5F40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甲乙丙三种酶参与葡萄糖和糖原之间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转化，过程如图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所示。任一酶的基因发生突变导致相应酶功能缺陷，均会引发</w:t>
      </w:r>
      <w:r>
        <w:rPr>
          <w:rFonts w:ascii="Times New Roman" w:hAnsi="Times New Roman" w:eastAsia="Times New Roman" w:cs="Times New Roman"/>
          <w:color w:val="000000"/>
        </w:rPr>
        <w:t>GSD</w:t>
      </w:r>
      <w:r>
        <w:rPr>
          <w:rFonts w:ascii="宋体" w:hAnsi="宋体" w:eastAsia="宋体" w:cs="宋体"/>
          <w:color w:val="000000"/>
        </w:rPr>
        <w:t>病。图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为三种</w:t>
      </w:r>
      <w:r>
        <w:rPr>
          <w:rFonts w:ascii="Times New Roman" w:hAnsi="Times New Roman" w:eastAsia="Times New Roman" w:cs="Times New Roman"/>
          <w:color w:val="000000"/>
        </w:rPr>
        <w:t>GSD</w:t>
      </w:r>
      <w:r>
        <w:rPr>
          <w:rFonts w:ascii="宋体" w:hAnsi="宋体" w:eastAsia="宋体" w:cs="宋体"/>
          <w:color w:val="000000"/>
        </w:rPr>
        <w:t>亚型患者家系，其中至少一种是伴性遗传。不考虑新的突变，下列分析正确的是（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drawing>
          <wp:inline distT="0" distB="0" distL="114300" distR="114300">
            <wp:extent cx="5238750" cy="1163955"/>
            <wp:effectExtent l="0" t="0" r="0" b="1714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64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3A7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若①同时患有红绿色盲，则其父母再生育健康孩子的概率是</w:t>
      </w:r>
      <w:r>
        <w:rPr>
          <w:rFonts w:ascii="Times New Roman" w:hAnsi="Times New Roman" w:eastAsia="Times New Roman" w:cs="Times New Roman"/>
          <w:color w:val="000000"/>
        </w:rPr>
        <w:t>3/8</w:t>
      </w:r>
    </w:p>
    <w:p w14:paraId="012D31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若②长期表现为低血糖，则一定不是乙酶功能缺陷所致</w:t>
      </w:r>
    </w:p>
    <w:p w14:paraId="211AE3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若丙酶缺陷</w:t>
      </w:r>
      <w:r>
        <w:rPr>
          <w:rFonts w:ascii="Times New Roman" w:hAnsi="Times New Roman" w:eastAsia="Times New Roman" w:cs="Times New Roman"/>
          <w:color w:val="000000"/>
        </w:rPr>
        <w:t>GSD</w:t>
      </w:r>
      <w:r>
        <w:rPr>
          <w:rFonts w:ascii="宋体" w:hAnsi="宋体" w:eastAsia="宋体" w:cs="宋体"/>
          <w:color w:val="000000"/>
        </w:rPr>
        <w:t>发病率是</w:t>
      </w:r>
      <w:r>
        <w:rPr>
          <w:rFonts w:ascii="Times New Roman" w:hAnsi="Times New Roman" w:eastAsia="Times New Roman" w:cs="Times New Roman"/>
          <w:color w:val="000000"/>
        </w:rPr>
        <w:t>1/10000</w:t>
      </w:r>
      <w:r>
        <w:rPr>
          <w:rFonts w:ascii="宋体" w:hAnsi="宋体" w:eastAsia="宋体" w:cs="宋体"/>
          <w:color w:val="000000"/>
        </w:rPr>
        <w:t>，则③患该病的概率为</w:t>
      </w:r>
      <w:r>
        <w:rPr>
          <w:rFonts w:ascii="Times New Roman" w:hAnsi="Times New Roman" w:eastAsia="Times New Roman" w:cs="Times New Roman"/>
          <w:color w:val="000000"/>
        </w:rPr>
        <w:t>1/300</w:t>
      </w:r>
    </w:p>
    <w:p w14:paraId="4C79DB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三种</w:t>
      </w:r>
      <w:r>
        <w:rPr>
          <w:rFonts w:ascii="Times New Roman" w:hAnsi="Times New Roman" w:eastAsia="Times New Roman" w:cs="Times New Roman"/>
          <w:color w:val="000000"/>
        </w:rPr>
        <w:t>GSD</w:t>
      </w:r>
      <w:r>
        <w:rPr>
          <w:rFonts w:ascii="宋体" w:hAnsi="宋体" w:eastAsia="宋体" w:cs="宋体"/>
          <w:color w:val="000000"/>
        </w:rPr>
        <w:t>亚型患者体内的糖原含量都会异常升高</w:t>
      </w:r>
    </w:p>
    <w:p w14:paraId="101EEE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药物甲常用于肿瘤治疗，但对正常细胞有一定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毒副作用。某小组利用试剂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（可将细胞阻滞在细胞周期某时期）研究了药物甲的毒性与细胞周期的关系，实验流程和结果如图所示。下列推测正确的是（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39D32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878330"/>
            <wp:effectExtent l="0" t="0" r="0" b="762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78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093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注：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DNA</w:t>
      </w:r>
      <w:r>
        <w:rPr>
          <w:rFonts w:ascii="宋体" w:hAnsi="宋体" w:eastAsia="宋体" w:cs="宋体"/>
          <w:color w:val="000000"/>
        </w:rPr>
        <w:t>合成前期；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DNA</w:t>
      </w:r>
      <w:r>
        <w:rPr>
          <w:rFonts w:ascii="宋体" w:hAnsi="宋体" w:eastAsia="宋体" w:cs="宋体"/>
          <w:color w:val="000000"/>
        </w:rPr>
        <w:t>合成期；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：分裂准备期；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期：分裂期</w:t>
      </w:r>
    </w:p>
    <w:p w14:paraId="146C4E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试剂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可以将细胞阻滞在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期</w:t>
      </w:r>
    </w:p>
    <w:p w14:paraId="37D47D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试剂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对细胞周期的阻滞作用不可逆</w:t>
      </w:r>
    </w:p>
    <w:p w14:paraId="2CD649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药物甲主要作用于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+M</w:t>
      </w:r>
      <w:r>
        <w:rPr>
          <w:rFonts w:ascii="宋体" w:hAnsi="宋体" w:eastAsia="宋体" w:cs="宋体"/>
          <w:color w:val="000000"/>
        </w:rPr>
        <w:t>期，Ⅱ组的凋亡率应最低</w:t>
      </w:r>
    </w:p>
    <w:p w14:paraId="2E0E7A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在机体内，药物甲对浆细胞的毒性强于造血干细胞</w:t>
      </w:r>
    </w:p>
    <w:p w14:paraId="0F6EE8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某小组以拟南芥原生质体为材料，研究了生长素（</w:t>
      </w:r>
      <w:r>
        <w:rPr>
          <w:rFonts w:ascii="Times New Roman" w:hAnsi="Times New Roman" w:eastAsia="Times New Roman" w:cs="Times New Roman"/>
          <w:color w:val="000000"/>
        </w:rPr>
        <w:t>IAA</w:t>
      </w:r>
      <w:r>
        <w:rPr>
          <w:rFonts w:ascii="宋体" w:hAnsi="宋体" w:eastAsia="宋体" w:cs="宋体"/>
          <w:color w:val="000000"/>
        </w:rPr>
        <w:t>）、组蛋白乙酰化及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基因对原生质体形成愈伤组织的影响。野生型（</w:t>
      </w:r>
      <w:r>
        <w:rPr>
          <w:rFonts w:ascii="Times New Roman" w:hAnsi="Times New Roman" w:eastAsia="Times New Roman" w:cs="Times New Roman"/>
          <w:color w:val="000000"/>
        </w:rPr>
        <w:t>WT</w:t>
      </w:r>
      <w:r>
        <w:rPr>
          <w:rFonts w:ascii="宋体" w:hAnsi="宋体" w:eastAsia="宋体" w:cs="宋体"/>
          <w:color w:val="000000"/>
        </w:rPr>
        <w:t>）和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基因突变型（</w:t>
      </w:r>
      <w:r>
        <w:rPr>
          <w:rFonts w:ascii="Times New Roman" w:hAnsi="Times New Roman" w:eastAsia="Times New Roman" w:cs="Times New Roman"/>
          <w:color w:val="000000"/>
        </w:rPr>
        <w:t>rr</w:t>
      </w:r>
      <w:r>
        <w:rPr>
          <w:rFonts w:ascii="宋体" w:hAnsi="宋体" w:eastAsia="宋体" w:cs="宋体"/>
          <w:color w:val="000000"/>
        </w:rPr>
        <w:t>）的原生质体分别经下表不同条件培养相同时间后，检测培养材料中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基因表达量，并统计愈伤组织形成率，结果如图所示。据此推断，下列叙述正确的是（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45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51"/>
        <w:gridCol w:w="1060"/>
        <w:gridCol w:w="2789"/>
      </w:tblGrid>
      <w:tr w14:paraId="5A83DD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7360E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编号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496D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原生质体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6CCC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培养条件</w:t>
            </w:r>
          </w:p>
        </w:tc>
      </w:tr>
      <w:tr w14:paraId="4B241C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4A48E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242B1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WT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C6C09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培养基</w:t>
            </w:r>
          </w:p>
        </w:tc>
      </w:tr>
      <w:tr w14:paraId="784D04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DE861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2ECA2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WT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FAFF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培养基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+</w:t>
            </w:r>
            <w:r>
              <w:rPr>
                <w:rFonts w:ascii="宋体" w:hAnsi="宋体" w:eastAsia="宋体" w:cs="宋体"/>
                <w:color w:val="000000"/>
              </w:rPr>
              <w:t>合适浓度的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IAA</w:t>
            </w:r>
          </w:p>
        </w:tc>
      </w:tr>
      <w:tr w14:paraId="331E46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FB45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59422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rr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CDAA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培养基</w:t>
            </w:r>
          </w:p>
        </w:tc>
      </w:tr>
      <w:tr w14:paraId="3DBF85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B9E9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6EC5D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rr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B2F1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培养基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+</w:t>
            </w:r>
            <w:r>
              <w:rPr>
                <w:rFonts w:ascii="宋体" w:hAnsi="宋体" w:eastAsia="宋体" w:cs="宋体"/>
                <w:color w:val="000000"/>
              </w:rPr>
              <w:t>合适浓度的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IAA</w:t>
            </w:r>
          </w:p>
        </w:tc>
      </w:tr>
      <w:tr w14:paraId="1CCBDA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1CD83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53AAF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WT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59AA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培养基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+</w:t>
            </w:r>
            <w:r>
              <w:rPr>
                <w:rFonts w:ascii="宋体" w:hAnsi="宋体" w:eastAsia="宋体" w:cs="宋体"/>
                <w:color w:val="000000"/>
              </w:rPr>
              <w:t>组蛋白乙酰化抑制剂</w:t>
            </w:r>
          </w:p>
        </w:tc>
      </w:tr>
    </w:tbl>
    <w:p w14:paraId="31C2E8B2">
      <w:pPr>
        <w:spacing w:line="360" w:lineRule="auto"/>
        <w:jc w:val="left"/>
        <w:textAlignment w:val="center"/>
        <w:rPr>
          <w:color w:val="000000"/>
        </w:rPr>
      </w:pPr>
    </w:p>
    <w:p w14:paraId="0B6839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71800" cy="13430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B8D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组蛋白乙酰化有利于</w:t>
      </w:r>
      <w:r>
        <w:rPr>
          <w:rFonts w:ascii="Times New Roman" w:hAnsi="Times New Roman" w:eastAsia="Times New Roman" w:cs="Times New Roman"/>
          <w:color w:val="000000"/>
        </w:rPr>
        <w:t>WT</w:t>
      </w:r>
      <w:r>
        <w:rPr>
          <w:rFonts w:ascii="宋体" w:hAnsi="宋体" w:eastAsia="宋体" w:cs="宋体"/>
          <w:color w:val="000000"/>
        </w:rPr>
        <w:t>原生质体形成愈伤组织</w:t>
      </w:r>
    </w:p>
    <w:p w14:paraId="258F46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基因通过促进</w:t>
      </w:r>
      <w:r>
        <w:rPr>
          <w:rFonts w:ascii="Times New Roman" w:hAnsi="Times New Roman" w:eastAsia="Times New Roman" w:cs="Times New Roman"/>
          <w:color w:val="000000"/>
        </w:rPr>
        <w:t>IAA</w:t>
      </w:r>
      <w:r>
        <w:rPr>
          <w:rFonts w:ascii="宋体" w:hAnsi="宋体" w:eastAsia="宋体" w:cs="宋体"/>
          <w:color w:val="000000"/>
        </w:rPr>
        <w:t>的合成提高愈伤组织形成率</w:t>
      </w:r>
    </w:p>
    <w:p w14:paraId="0614E3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组蛋白乙酰化通过改变</w:t>
      </w:r>
      <w:r>
        <w:rPr>
          <w:rFonts w:ascii="Times New Roman" w:hAnsi="Times New Roman" w:eastAsia="Times New Roman" w:cs="Times New Roman"/>
          <w:color w:val="000000"/>
        </w:rPr>
        <w:t>DNA</w:t>
      </w:r>
      <w:r>
        <w:rPr>
          <w:rFonts w:ascii="宋体" w:hAnsi="宋体" w:eastAsia="宋体" w:cs="宋体"/>
          <w:color w:val="000000"/>
        </w:rPr>
        <w:t>碱基序列影响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基因表达量</w:t>
      </w:r>
    </w:p>
    <w:p w14:paraId="680425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若用</w:t>
      </w:r>
      <w:r>
        <w:rPr>
          <w:rFonts w:ascii="Times New Roman" w:hAnsi="Times New Roman" w:eastAsia="Times New Roman" w:cs="Times New Roman"/>
          <w:color w:val="000000"/>
        </w:rPr>
        <w:t>IAA</w:t>
      </w:r>
      <w:r>
        <w:rPr>
          <w:rFonts w:ascii="宋体" w:hAnsi="宋体" w:eastAsia="宋体" w:cs="宋体"/>
          <w:color w:val="000000"/>
        </w:rPr>
        <w:t>合成抑制剂处理</w:t>
      </w:r>
      <w:r>
        <w:rPr>
          <w:rFonts w:ascii="Times New Roman" w:hAnsi="Times New Roman" w:eastAsia="Times New Roman" w:cs="Times New Roman"/>
          <w:color w:val="000000"/>
        </w:rPr>
        <w:t>WT</w:t>
      </w:r>
      <w:r>
        <w:rPr>
          <w:rFonts w:ascii="宋体" w:hAnsi="宋体" w:eastAsia="宋体" w:cs="宋体"/>
          <w:color w:val="000000"/>
        </w:rPr>
        <w:t>原生质体，愈伤组织形成率将升高</w:t>
      </w:r>
    </w:p>
    <w:p w14:paraId="0FE444C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55</w:t>
      </w:r>
      <w:r>
        <w:rPr>
          <w:rFonts w:ascii="宋体" w:hAnsi="宋体" w:eastAsia="宋体" w:cs="宋体"/>
          <w:b/>
          <w:color w:val="000000"/>
          <w:sz w:val="24"/>
        </w:rPr>
        <w:t>分。考生根据要求作答。</w:t>
      </w:r>
    </w:p>
    <w:p w14:paraId="17DD0B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妊娠与子宫内膜基质细胞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功能密切相关。某研究小组通过如图所示的实验流程获得了子宫内膜基质细胞，以期用于妊娠相关疾病的研究。</w:t>
      </w:r>
    </w:p>
    <w:p w14:paraId="4BD527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871220"/>
            <wp:effectExtent l="0" t="0" r="0" b="508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7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DE17B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手术获得的皮肤组织需在低温下运至实验室，低温对细胞中各种蛋白质的作用为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2FF991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过程①中，诱导形成</w:t>
      </w:r>
      <w:r>
        <w:rPr>
          <w:rFonts w:ascii="Times New Roman" w:hAnsi="Times New Roman" w:eastAsia="Times New Roman" w:cs="Times New Roman"/>
          <w:color w:val="000000"/>
        </w:rPr>
        <w:t>PS</w:t>
      </w:r>
      <w:r>
        <w:rPr>
          <w:rFonts w:ascii="宋体" w:hAnsi="宋体" w:eastAsia="宋体" w:cs="宋体"/>
          <w:color w:val="000000"/>
        </w:rPr>
        <w:t>细胞时，需提高成纤维细胞中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个基因的表达量，可采用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技术将这些基因导入该细胞。这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个基因的主要作用为：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基因促进增殖，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基因和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基因控制干细胞特性，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基因抑制凋亡和衰老。若成纤维细胞形成肿瘤细胞，最有可能的原因是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基因过量表达。</w:t>
      </w:r>
    </w:p>
    <w:p w14:paraId="492C09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培养</w:t>
      </w:r>
      <w:r>
        <w:rPr>
          <w:rFonts w:ascii="Times New Roman" w:hAnsi="Times New Roman" w:eastAsia="Times New Roman" w:cs="Times New Roman"/>
          <w:color w:val="000000"/>
        </w:rPr>
        <w:t>iPS</w:t>
      </w:r>
      <w:r>
        <w:rPr>
          <w:rFonts w:ascii="宋体" w:hAnsi="宋体" w:eastAsia="宋体" w:cs="宋体"/>
          <w:color w:val="000000"/>
        </w:rPr>
        <w:t>细胞时，应对所处环境定期消毒以降低细胞被污染风险。可用紫外线进行消毒的是</w:t>
      </w:r>
      <w:r>
        <w:rPr>
          <w:rFonts w:ascii="Times New Roman" w:hAnsi="Times New Roman" w:eastAsia="Times New Roman" w:cs="Times New Roman"/>
          <w:color w:val="000000"/>
        </w:rPr>
        <w:t>_____</w:t>
      </w:r>
      <w:r>
        <w:rPr>
          <w:rFonts w:ascii="宋体" w:hAnsi="宋体" w:eastAsia="宋体" w:cs="宋体"/>
          <w:color w:val="000000"/>
        </w:rPr>
        <w:t>（多选）。</w:t>
      </w:r>
    </w:p>
    <w:p w14:paraId="75E1579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培养基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培养瓶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细胞培养室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培养箱</w:t>
      </w:r>
    </w:p>
    <w:p w14:paraId="0DAB64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过程②中，</w:t>
      </w:r>
      <w:r>
        <w:rPr>
          <w:rFonts w:ascii="Times New Roman" w:hAnsi="Times New Roman" w:eastAsia="Times New Roman" w:cs="Times New Roman"/>
          <w:color w:val="000000"/>
        </w:rPr>
        <w:t>iPS</w:t>
      </w:r>
      <w:r>
        <w:rPr>
          <w:rFonts w:ascii="宋体" w:hAnsi="宋体" w:eastAsia="宋体" w:cs="宋体"/>
          <w:color w:val="000000"/>
        </w:rPr>
        <w:t>细胞经历的生命历程为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PCR</w:t>
      </w:r>
      <w:r>
        <w:rPr>
          <w:rFonts w:ascii="宋体" w:hAnsi="宋体" w:eastAsia="宋体" w:cs="宋体"/>
          <w:color w:val="000000"/>
        </w:rPr>
        <w:t>技术可用于检测子宫内膜基质细胞关键基因的</w:t>
      </w:r>
      <w:r>
        <w:rPr>
          <w:rFonts w:ascii="Times New Roman" w:hAnsi="Times New Roman" w:eastAsia="Times New Roman" w:cs="Times New Roman"/>
          <w:color w:val="000000"/>
        </w:rPr>
        <w:t>mRNA</w:t>
      </w:r>
      <w:r>
        <w:rPr>
          <w:rFonts w:ascii="宋体" w:hAnsi="宋体" w:eastAsia="宋体" w:cs="宋体"/>
          <w:color w:val="000000"/>
        </w:rPr>
        <w:t>水平，</w:t>
      </w:r>
      <w:r>
        <w:rPr>
          <w:rFonts w:ascii="Times New Roman" w:hAnsi="Times New Roman" w:eastAsia="Times New Roman" w:cs="Times New Roman"/>
          <w:color w:val="000000"/>
        </w:rPr>
        <w:t>mRNA</w:t>
      </w:r>
      <w:r>
        <w:rPr>
          <w:rFonts w:ascii="宋体" w:hAnsi="宋体" w:eastAsia="宋体" w:cs="宋体"/>
          <w:color w:val="000000"/>
        </w:rPr>
        <w:t>需经过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才能作为</w:t>
      </w:r>
      <w:r>
        <w:rPr>
          <w:rFonts w:ascii="Times New Roman" w:hAnsi="Times New Roman" w:eastAsia="Times New Roman" w:cs="Times New Roman"/>
          <w:color w:val="000000"/>
        </w:rPr>
        <w:t>PCR</w:t>
      </w:r>
      <w:r>
        <w:rPr>
          <w:rFonts w:ascii="宋体" w:hAnsi="宋体" w:eastAsia="宋体" w:cs="宋体"/>
          <w:color w:val="000000"/>
        </w:rPr>
        <w:t>扩增的模板。</w:t>
      </w:r>
    </w:p>
    <w:p w14:paraId="605230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阅读下列材料，回答问题。</w:t>
      </w:r>
    </w:p>
    <w:p w14:paraId="65E9F4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有研究发现，在某滨海湿地，互花米草入侵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年后，导致耐高盐的碱蓬大面积萎缩而芦苇扩张，这种变化的关键驱动因素是不同生态系统之间的“长距离相互作用”（由非生物物质等介导），如图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所示。</w:t>
      </w:r>
    </w:p>
    <w:p w14:paraId="62C45E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假设有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种植食性昆虫分别以芦苇、碱蓬和互花米草为主要食物，昆虫数量变化能够反映所食植物种群数量变化。互花米草入侵后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种植食性昆虫数量变化如图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</w:t>
      </w:r>
    </w:p>
    <w:p w14:paraId="12C183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86200" cy="162877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163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据材料分析，本研究中介导“长距离相互作用”的非生物物质是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057306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中，若昆虫①以互花米草为食，则昆虫③以</w:t>
      </w:r>
      <w:r>
        <w:rPr>
          <w:color w:val="000000"/>
        </w:rPr>
        <w:t>_____ 为食</w:t>
      </w:r>
      <w:r>
        <w:rPr>
          <w:rFonts w:ascii="宋体" w:hAnsi="宋体" w:eastAsia="宋体" w:cs="宋体"/>
          <w:color w:val="000000"/>
        </w:rPr>
        <w:t>；互花米草入侵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年后，昆虫②数量持续降低，直接原因是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73AA23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物种之间的关系可随环境变化表现为正相互作用（对一方有利，另一方无影响或对双方有利）或负相互作用（如：竞争）。</w:t>
      </w:r>
      <w:r>
        <w:rPr>
          <w:rFonts w:ascii="Times New Roman" w:hAnsi="Times New Roman" w:eastAsia="Times New Roman" w:cs="Times New Roman"/>
          <w:color w:val="000000"/>
        </w:rPr>
        <w:t>1~N</w:t>
      </w:r>
      <w:r>
        <w:rPr>
          <w:rFonts w:ascii="宋体" w:hAnsi="宋体" w:eastAsia="宋体" w:cs="宋体"/>
          <w:color w:val="000000"/>
        </w:rPr>
        <w:t>年，芦苇和互花米草种间关系的变化是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4D1F5D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互花米草入侵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年后，该湿地生态系统极有可能发生的变化有</w:t>
      </w:r>
      <w:r>
        <w:rPr>
          <w:rFonts w:ascii="Times New Roman" w:hAnsi="Times New Roman" w:eastAsia="Times New Roman" w:cs="Times New Roman"/>
          <w:color w:val="000000"/>
        </w:rPr>
        <w:t>_____</w:t>
      </w:r>
      <w:r>
        <w:rPr>
          <w:rFonts w:ascii="宋体" w:hAnsi="宋体" w:eastAsia="宋体" w:cs="宋体"/>
          <w:color w:val="000000"/>
        </w:rPr>
        <w:t>（多选）。</w:t>
      </w:r>
    </w:p>
    <w:p w14:paraId="77A8FE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互花米草向内陆和海洋两方向扩展</w:t>
      </w:r>
    </w:p>
    <w:p w14:paraId="7ACA21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群落内物种丰富度逐渐增加并趋于稳定</w:t>
      </w:r>
    </w:p>
    <w:p w14:paraId="702893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群落水平结构和垂直结构均更加复杂</w:t>
      </w:r>
    </w:p>
    <w:p w14:paraId="054639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为某些非本地昆虫提供生态位</w:t>
      </w:r>
    </w:p>
    <w:p w14:paraId="5ABD12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E. </w:t>
      </w:r>
      <w:r>
        <w:rPr>
          <w:rFonts w:ascii="宋体" w:hAnsi="宋体" w:eastAsia="宋体" w:cs="宋体"/>
          <w:color w:val="000000"/>
        </w:rPr>
        <w:t>生态系统自我调节能力下降</w:t>
      </w:r>
    </w:p>
    <w:p w14:paraId="28E88E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某些过敏性哮喘患者体内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细胞活化的部分机制如图所示，呼吸道上皮细胞接触过敏原后，分泌细胞因子</w:t>
      </w:r>
      <w:r>
        <w:rPr>
          <w:rFonts w:ascii="Times New Roman" w:hAnsi="Times New Roman" w:eastAsia="Times New Roman" w:cs="Times New Roman"/>
          <w:color w:val="000000"/>
        </w:rPr>
        <w:t>IL-33</w:t>
      </w:r>
      <w:r>
        <w:rPr>
          <w:rFonts w:ascii="宋体" w:hAnsi="宋体" w:eastAsia="宋体" w:cs="宋体"/>
          <w:color w:val="000000"/>
        </w:rPr>
        <w:t>，活化肺部的免疫细胞</w:t>
      </w:r>
      <w:r>
        <w:rPr>
          <w:rFonts w:ascii="Times New Roman" w:hAnsi="Times New Roman" w:eastAsia="Times New Roman" w:cs="Times New Roman"/>
          <w:color w:val="000000"/>
        </w:rPr>
        <w:t>ILC2</w:t>
      </w:r>
      <w:r>
        <w:rPr>
          <w:rFonts w:ascii="宋体" w:hAnsi="宋体" w:eastAsia="宋体" w:cs="宋体"/>
          <w:color w:val="000000"/>
        </w:rPr>
        <w:t>．活化的</w:t>
      </w:r>
      <w:r>
        <w:rPr>
          <w:rFonts w:ascii="Times New Roman" w:hAnsi="Times New Roman" w:eastAsia="Times New Roman" w:cs="Times New Roman"/>
          <w:color w:val="000000"/>
        </w:rPr>
        <w:t>ILC2</w:t>
      </w:r>
      <w:r>
        <w:rPr>
          <w:rFonts w:ascii="宋体" w:hAnsi="宋体" w:eastAsia="宋体" w:cs="宋体"/>
          <w:color w:val="000000"/>
        </w:rPr>
        <w:t>细胞分泌细胞因子</w:t>
      </w:r>
      <w:r>
        <w:rPr>
          <w:rFonts w:ascii="Times New Roman" w:hAnsi="Times New Roman" w:eastAsia="Times New Roman" w:cs="Times New Roman"/>
          <w:color w:val="000000"/>
        </w:rPr>
        <w:t>IL-4</w:t>
      </w:r>
      <w:r>
        <w:rPr>
          <w:rFonts w:ascii="宋体" w:hAnsi="宋体" w:eastAsia="宋体" w:cs="宋体"/>
          <w:color w:val="000000"/>
        </w:rPr>
        <w:t>，参与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细胞的激活。</w:t>
      </w:r>
    </w:p>
    <w:p w14:paraId="4243BA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66875" cy="249555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5EF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除了</w:t>
      </w:r>
      <w:r>
        <w:rPr>
          <w:rFonts w:ascii="Times New Roman" w:hAnsi="Times New Roman" w:eastAsia="Times New Roman" w:cs="Times New Roman"/>
          <w:color w:val="000000"/>
        </w:rPr>
        <w:t>IL-4</w:t>
      </w:r>
      <w:r>
        <w:rPr>
          <w:rFonts w:ascii="宋体" w:hAnsi="宋体" w:eastAsia="宋体" w:cs="宋体"/>
          <w:color w:val="000000"/>
        </w:rPr>
        <w:t>等细胞因子外，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细胞活化还需要的信号有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。过敏原再次进入机体，激活肥大细胞释放组（织）胺，肥大细胞被激活的过程是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300C27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研究发现，肺中部分神经元释放的多巴胺可作用于</w:t>
      </w:r>
      <w:r>
        <w:rPr>
          <w:rFonts w:ascii="Times New Roman" w:hAnsi="Times New Roman" w:eastAsia="Times New Roman" w:cs="Times New Roman"/>
          <w:color w:val="000000"/>
        </w:rPr>
        <w:t>ILC2</w:t>
      </w:r>
      <w:r>
        <w:rPr>
          <w:rFonts w:ascii="宋体" w:hAnsi="宋体" w:eastAsia="宋体" w:cs="宋体"/>
          <w:color w:val="000000"/>
        </w:rPr>
        <w:t>细胞。通过小鼠哮喘模型，发现哮喘小鼠肺组织中多巴胺含量较对照组明显下降，推测多巴胺对</w:t>
      </w:r>
      <w:r>
        <w:rPr>
          <w:rFonts w:ascii="Times New Roman" w:hAnsi="Times New Roman" w:eastAsia="Times New Roman" w:cs="Times New Roman"/>
          <w:color w:val="000000"/>
        </w:rPr>
        <w:t>ILC2</w:t>
      </w:r>
      <w:r>
        <w:rPr>
          <w:rFonts w:ascii="宋体" w:hAnsi="宋体" w:eastAsia="宋体" w:cs="宋体"/>
          <w:color w:val="000000"/>
        </w:rPr>
        <w:t>细胞释放</w:t>
      </w:r>
      <w:r>
        <w:rPr>
          <w:rFonts w:ascii="Times New Roman" w:hAnsi="Times New Roman" w:eastAsia="Times New Roman" w:cs="Times New Roman"/>
          <w:color w:val="000000"/>
        </w:rPr>
        <w:t>IL-4</w:t>
      </w:r>
      <w:r>
        <w:rPr>
          <w:rFonts w:ascii="宋体" w:hAnsi="宋体" w:eastAsia="宋体" w:cs="宋体"/>
          <w:color w:val="000000"/>
        </w:rPr>
        <w:t>的作用为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（填“抑制”或“促进”）。对哮喘小鼠静脉注射多巴胺，待其进入肺部发挥作用后，与未注射多巴胺的哮喘小鼠相比，分泌</w:t>
      </w:r>
      <w:r>
        <w:rPr>
          <w:rFonts w:ascii="Times New Roman" w:hAnsi="Times New Roman" w:eastAsia="Times New Roman" w:cs="Times New Roman"/>
          <w:color w:val="000000"/>
        </w:rPr>
        <w:t>IL-33</w:t>
      </w:r>
      <w:r>
        <w:rPr>
          <w:rFonts w:ascii="宋体" w:hAnsi="宋体" w:eastAsia="宋体" w:cs="宋体"/>
          <w:color w:val="000000"/>
        </w:rPr>
        <w:t>、过敏原特异性抗体和组（织）胺的含量会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6B25F5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以上研究说明，机体维持稳态的主要调节机制是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7E0CF5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水稻是我国重要的粮食作物，光合能力是影响水稻产量的重要因素。</w:t>
      </w:r>
    </w:p>
    <w:p w14:paraId="645A3F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通常情况下，叶绿素含量与植物的光合速率成正相关。但有研究发现，叶绿素含量降低的某一突变体水稻，在强光照条件下，其光合速率反而明显高于野生型。为探究其原因，有研究者在相同光照强度的强光条件下，测定了两种水稻的相关生理指标（单位省略），结果如下表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01"/>
        <w:gridCol w:w="1532"/>
        <w:gridCol w:w="2583"/>
        <w:gridCol w:w="1824"/>
        <w:gridCol w:w="901"/>
      </w:tblGrid>
      <w:tr w14:paraId="6BB39B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C85A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69EC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光反应</w:t>
            </w: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2C12E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暗反应</w:t>
            </w:r>
          </w:p>
        </w:tc>
      </w:tr>
      <w:tr w14:paraId="1AB11F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9711E8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D782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光能转化效率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F173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类囊体薄膜电子传递速率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D08D6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RuBP</w:t>
            </w:r>
            <w:r>
              <w:rPr>
                <w:rFonts w:ascii="宋体" w:hAnsi="宋体" w:eastAsia="宋体" w:cs="宋体"/>
                <w:color w:val="000000"/>
              </w:rPr>
              <w:t>羧化酶含量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FF899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V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max</w:t>
            </w:r>
          </w:p>
        </w:tc>
      </w:tr>
      <w:tr w14:paraId="5DE174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73D60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野生型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6908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DDA8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180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3E3C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0AC1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129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</w:tr>
      <w:tr w14:paraId="384439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15327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突变体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ACEE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66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24F99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199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EF9E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B7CD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164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</w:tr>
    </w:tbl>
    <w:p w14:paraId="335958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注：</w:t>
      </w:r>
      <w:r>
        <w:rPr>
          <w:rFonts w:ascii="Times New Roman" w:hAnsi="Times New Roman" w:eastAsia="Times New Roman" w:cs="Times New Roman"/>
          <w:color w:val="000000"/>
        </w:rPr>
        <w:t>RuBP</w:t>
      </w:r>
      <w:r>
        <w:rPr>
          <w:rFonts w:ascii="宋体" w:hAnsi="宋体" w:eastAsia="宋体" w:cs="宋体"/>
          <w:color w:val="000000"/>
        </w:rPr>
        <w:t>羧化酶：催化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固定的酶：</w:t>
      </w:r>
      <w:r>
        <w:rPr>
          <w:rFonts w:ascii="Times New Roman" w:hAnsi="Times New Roman" w:eastAsia="Times New Roman" w:cs="Times New Roman"/>
          <w:color w:val="000000"/>
        </w:rPr>
        <w:t>Vmax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RuBP</w:t>
      </w:r>
      <w:r>
        <w:rPr>
          <w:rFonts w:ascii="宋体" w:hAnsi="宋体" w:eastAsia="宋体" w:cs="宋体"/>
          <w:color w:val="000000"/>
        </w:rPr>
        <w:t>羧化酶催化的最大速率</w:t>
      </w:r>
    </w:p>
    <w:p w14:paraId="1A6BB2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①类囊体薄膜电子传递的最终产物是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RuBP</w:t>
      </w:r>
      <w:r>
        <w:rPr>
          <w:rFonts w:ascii="宋体" w:hAnsi="宋体" w:eastAsia="宋体" w:cs="宋体"/>
          <w:color w:val="000000"/>
        </w:rPr>
        <w:t>羧化酶催化的底物是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011F11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②据表分析，突变体水稻光合速率高于野生型的原因是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64602F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研究人员进一步测定了田间光照和遮荫条件下两种水稻的产量（单位省略），结果如下表。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02"/>
        <w:gridCol w:w="1534"/>
        <w:gridCol w:w="1534"/>
      </w:tblGrid>
      <w:tr w14:paraId="1D6EC3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F4BB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D3DD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田间光照产量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F9F3A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田间遮阴产量</w:t>
            </w:r>
          </w:p>
        </w:tc>
      </w:tr>
      <w:tr w14:paraId="794E74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4380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野生型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738C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93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F6A1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</w:tr>
      <w:tr w14:paraId="552944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FED6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突变体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F1D4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E5B1E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68</w:t>
            </w:r>
          </w:p>
        </w:tc>
      </w:tr>
    </w:tbl>
    <w:p w14:paraId="371B82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①在田间遮荫条件下，突变体水稻产量却明显低于野生型，造成这个结果的内因是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，外因是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3C7C18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②水稻叶肉细胞的光合产物有淀粉和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，两者可以相互转化，后者是光合产物的主要运输形式，在开花结实期主要运往籽粒。</w:t>
      </w:r>
    </w:p>
    <w:p w14:paraId="189260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③根据以上结果，推测两种水稻的光补偿点（光合速率和呼吸速率相等时的光照强度），突变体水稻较野生型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（填“高”、“低”或“相等”）。</w:t>
      </w:r>
    </w:p>
    <w:p w14:paraId="6FFFF0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科学家在基因型为</w:t>
      </w:r>
      <w:r>
        <w:rPr>
          <w:rFonts w:ascii="Times New Roman" w:hAnsi="Times New Roman" w:eastAsia="Times New Roman" w:cs="Times New Roman"/>
          <w:color w:val="000000"/>
        </w:rPr>
        <w:t>mm</w:t>
      </w:r>
      <w:r>
        <w:rPr>
          <w:rFonts w:ascii="宋体" w:hAnsi="宋体" w:eastAsia="宋体" w:cs="宋体"/>
          <w:color w:val="000000"/>
        </w:rPr>
        <w:t>的普通玉米（</w:t>
      </w:r>
      <w:r>
        <w:rPr>
          <w:rFonts w:ascii="Times New Roman" w:hAnsi="Times New Roman" w:eastAsia="Times New Roman" w:cs="Times New Roman"/>
          <w:color w:val="000000"/>
        </w:rPr>
        <w:t>2n=20</w:t>
      </w:r>
      <w:r>
        <w:rPr>
          <w:rFonts w:ascii="宋体" w:hAnsi="宋体" w:eastAsia="宋体" w:cs="宋体"/>
          <w:color w:val="000000"/>
        </w:rPr>
        <w:t>）群体中发现了杂合雄性不育突变体，并从中克隆了控制不育性状的显性基因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（编码蛋白质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）。研究发现，突变体玉米雄性不育与花粉母细胞减数分裂异常密切相关（图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）：进一步研究发现，减数分裂细胞中影响染色体联会的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蛋白量与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蛋白质有关（图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）。</w:t>
      </w:r>
    </w:p>
    <w:p w14:paraId="055436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57775" cy="215265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492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注：</w:t>
      </w:r>
      <w:r>
        <w:rPr>
          <w:rFonts w:ascii="Times New Roman" w:hAnsi="Times New Roman" w:eastAsia="Times New Roman" w:cs="Times New Roman"/>
          <w:color w:val="000000"/>
        </w:rPr>
        <w:t>M-Del</w:t>
      </w:r>
      <w:r>
        <w:rPr>
          <w:rFonts w:ascii="宋体" w:hAnsi="宋体" w:eastAsia="宋体" w:cs="宋体"/>
          <w:color w:val="000000"/>
        </w:rPr>
        <w:t>：敲除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基因的突变体；①</w:t>
      </w:r>
      <w:r>
        <w:rPr>
          <w:rFonts w:ascii="Times New Roman" w:hAnsi="Times New Roman" w:eastAsia="Times New Roman" w:cs="Times New Roman"/>
          <w:color w:val="000000"/>
        </w:rPr>
        <w:t>~</w:t>
      </w:r>
      <w:r>
        <w:rPr>
          <w:rFonts w:ascii="宋体" w:hAnsi="宋体" w:eastAsia="宋体" w:cs="宋体"/>
          <w:color w:val="000000"/>
        </w:rPr>
        <w:t>⑤为依次发生的减数分裂Ⅰ或Ⅱ某时期：⑥为减数分裂Ⅱ结束后形成的子细胞；⑦为花粉及可育率</w:t>
      </w:r>
    </w:p>
    <w:p w14:paraId="45E911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中③所示的时期为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，⑥中单个正常细胞内染色体数目为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。玉米减数分裂细胞中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蛋白量减少，植株的花粉可育率将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。推测玉米突变体中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蛋白质影响减数分裂的机制为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0A12E9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欲利用现有植株通过杂交方式获得种子用于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基因的后续研究，杂交亲本的基因型分别应为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156E88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基因与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基因</w:t>
      </w:r>
      <w:r>
        <w:rPr>
          <w:rFonts w:ascii="Times New Roman" w:hAnsi="Times New Roman" w:eastAsia="Times New Roman" w:cs="Times New Roman"/>
          <w:color w:val="000000"/>
        </w:rPr>
        <w:t>DNA</w:t>
      </w:r>
      <w:r>
        <w:rPr>
          <w:rFonts w:ascii="宋体" w:hAnsi="宋体" w:eastAsia="宋体" w:cs="宋体"/>
          <w:color w:val="000000"/>
        </w:rPr>
        <w:t>序列相比，非模板链上第</w:t>
      </w:r>
      <w:r>
        <w:rPr>
          <w:rFonts w:ascii="Times New Roman" w:hAnsi="Times New Roman" w:eastAsia="Times New Roman" w:cs="Times New Roman"/>
          <w:color w:val="000000"/>
        </w:rPr>
        <w:t>1072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1094</w:t>
      </w:r>
      <w:r>
        <w:rPr>
          <w:rFonts w:ascii="宋体" w:hAnsi="宋体" w:eastAsia="宋体" w:cs="宋体"/>
          <w:color w:val="000000"/>
        </w:rPr>
        <w:t>位的两个碱基突变为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，致使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蛋白质的第</w:t>
      </w:r>
      <w:r>
        <w:rPr>
          <w:rFonts w:ascii="Times New Roman" w:hAnsi="Times New Roman" w:eastAsia="Times New Roman" w:cs="Times New Roman"/>
          <w:color w:val="000000"/>
        </w:rPr>
        <w:t>358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365</w:t>
      </w:r>
      <w:r>
        <w:rPr>
          <w:rFonts w:ascii="宋体" w:hAnsi="宋体" w:eastAsia="宋体" w:cs="宋体"/>
          <w:color w:val="000000"/>
        </w:rPr>
        <w:t>位氨基酸分别变为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（图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）；按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＇</w:t>
      </w:r>
      <w:r>
        <w:rPr>
          <w:rFonts w:ascii="Times New Roman" w:hAnsi="Times New Roman" w:eastAsia="Times New Roman" w:cs="Times New Roman"/>
          <w:color w:val="000000"/>
        </w:rPr>
        <w:t>-3</w:t>
      </w:r>
      <w:r>
        <w:rPr>
          <w:rFonts w:ascii="宋体" w:hAnsi="宋体" w:eastAsia="宋体" w:cs="宋体"/>
          <w:color w:val="000000"/>
        </w:rPr>
        <w:t>＇的方向，转运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（第</w:t>
      </w:r>
      <w:r>
        <w:rPr>
          <w:rFonts w:ascii="Times New Roman" w:hAnsi="Times New Roman" w:eastAsia="Times New Roman" w:cs="Times New Roman"/>
          <w:color w:val="000000"/>
        </w:rPr>
        <w:t>358</w:t>
      </w:r>
      <w:r>
        <w:rPr>
          <w:rFonts w:ascii="宋体" w:hAnsi="宋体" w:eastAsia="宋体" w:cs="宋体"/>
          <w:color w:val="000000"/>
        </w:rPr>
        <w:t>位）的</w:t>
      </w:r>
      <w:r>
        <w:rPr>
          <w:rFonts w:ascii="Times New Roman" w:hAnsi="Times New Roman" w:eastAsia="Times New Roman" w:cs="Times New Roman"/>
          <w:color w:val="000000"/>
        </w:rPr>
        <w:t>tRNA</w:t>
      </w:r>
      <w:r>
        <w:rPr>
          <w:rFonts w:ascii="宋体" w:hAnsi="宋体" w:eastAsia="宋体" w:cs="宋体"/>
          <w:color w:val="000000"/>
        </w:rPr>
        <w:t>上反密码子第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位碱基必为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。如需用定点突变方法分析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基因的两个突变位点对玉米花粉可育率的影响，可采取的分析思路为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5F9411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19450" cy="1990725"/>
            <wp:effectExtent l="0" t="0" r="0" b="9525"/>
            <wp:docPr id="1570739674" name="图片 15707396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739674" name="图片 157073967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2B196">
      <w:pPr>
        <w:spacing w:line="360" w:lineRule="auto"/>
        <w:jc w:val="left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FB47F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97816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36357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8BF1D8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D329C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F65B2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BCA0782"/>
    <w:rsid w:val="16516ED4"/>
    <w:rsid w:val="363B03AE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17.jpeg"/><Relationship Id="rId25" Type="http://schemas.openxmlformats.org/officeDocument/2006/relationships/image" Target="media/image16.jpe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jpe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8</Pages>
  <Words>4127</Words>
  <Characters>4553</Characters>
  <Lines>0</Lines>
  <Paragraphs>0</Paragraphs>
  <TotalTime>0</TotalTime>
  <ScaleCrop>false</ScaleCrop>
  <LinksUpToDate>false</LinksUpToDate>
  <CharactersWithSpaces>4720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2026-02-10T06:41:00Z</dcterms:created>
  <dc:creator>Administrator</dc:creator>
  <cp:lastModifiedBy>上帝掷骰子吗</cp:lastModifiedBy>
  <dcterms:modified xsi:type="dcterms:W3CDTF">2026-02-10T06:57:35Z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FB945E7C8DA044E1B9A908B1DB285926_12</vt:lpwstr>
  </property>
</Properties>
</file>