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A1B2DA">
      <w:pPr>
        <w:spacing w:before="0" w:after="0" w:line="359" w:lineRule="exact"/>
        <w:ind w:left="984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2" o:spid="_x0000_s102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" o:spid="_x0000_s102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" o:spid="_x0000_s103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2024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年广西普通高中学业水平选择性考试（生物学科）</w:t>
      </w:r>
    </w:p>
    <w:p w14:paraId="4DFBF5AF">
      <w:pPr>
        <w:spacing w:before="24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唐诗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翠羽春禽满树喧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3"/>
          <w:sz w:val="21"/>
        </w:rPr>
        <w:t>描绘了满树鸟儿欢快鸣叫的画面，其中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翠羽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指青翠的羽毛，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喧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8"/>
          <w:sz w:val="21"/>
        </w:rPr>
        <w:t>指鸣叫。关于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翠</w:t>
      </w:r>
    </w:p>
    <w:p w14:paraId="2458ABF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喧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在生态系统中的作用，说法错误的是（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6C1CCD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翠羽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有利于种群繁衍</w:t>
      </w:r>
      <w:r>
        <w:rPr>
          <w:rFonts w:ascii="Times New Roman"/>
          <w:color w:val="000000"/>
          <w:spacing w:val="24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两者皆可调节种间关系</w:t>
      </w:r>
    </w:p>
    <w:p w14:paraId="51FC4E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喧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可表示个体间联络</w:t>
      </w:r>
      <w:r>
        <w:rPr>
          <w:rFonts w:ascii="Times New Roman"/>
          <w:color w:val="000000"/>
          <w:spacing w:val="25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两者皆属于化学信息</w:t>
      </w:r>
    </w:p>
    <w:p w14:paraId="33CEFE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广西是我国甘蔗主产地。甘蔗一般采用无性繁殖，但会由于病毒积累而产下降，可通过植物组织培养获</w:t>
      </w:r>
    </w:p>
    <w:p w14:paraId="1A56D0C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得脱毒苗的方法来解决。关于该方法，下列说法错误的是（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F08964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可选用甘蔗的茎尖为外植体</w:t>
      </w:r>
    </w:p>
    <w:p w14:paraId="215D21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选用的外植体需经高温灭菌处理</w:t>
      </w:r>
    </w:p>
    <w:p w14:paraId="4E761B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一般采用加入琼脂的固体培养基</w:t>
      </w:r>
    </w:p>
    <w:p w14:paraId="5F73258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脱毒苗的形成包括再分化过程</w:t>
      </w:r>
    </w:p>
    <w:p w14:paraId="74F5435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3.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扬美豆豉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制作技艺属于广西非物质文化遗产，该技艺包括选豆、洗豆、煮豆、制曲、洗曲、调味和发酵</w:t>
      </w:r>
    </w:p>
    <w:p w14:paraId="0B12B2C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等。下列说法错误的是（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3E68B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煮豆可使蛋白质适度变性，易于被微生物利用</w:t>
      </w:r>
    </w:p>
    <w:p w14:paraId="6656B4E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制曲目的是促使有益微生物生长繁殖，并分泌多种酶</w:t>
      </w:r>
    </w:p>
    <w:p w14:paraId="68E2F5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调味时加入食盐，主要目的是促进微生物的生长繁殖</w:t>
      </w:r>
    </w:p>
    <w:p w14:paraId="6A294E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发酵过程中，微生物将原料转化为特定代谢产物，使豆豉风味独特</w:t>
      </w:r>
    </w:p>
    <w:p w14:paraId="5CB39B7A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研究发现真核生物基因组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普遍存在</w:t>
      </w:r>
      <w:r>
        <w:rPr>
          <w:rFonts w:ascii="Times New Roman"/>
          <w:color w:val="000000"/>
          <w:spacing w:val="0"/>
          <w:sz w:val="21"/>
        </w:rPr>
        <w:t xml:space="preserve"> 5-</w:t>
      </w:r>
      <w:r>
        <w:rPr>
          <w:rFonts w:ascii="宋体" w:hAnsi="宋体" w:cs="宋体"/>
          <w:color w:val="000000"/>
          <w:spacing w:val="0"/>
          <w:sz w:val="21"/>
        </w:rPr>
        <w:t>甲基胞嘧啶和</w:t>
      </w:r>
      <w:r>
        <w:rPr>
          <w:rFonts w:ascii="Times New Roman"/>
          <w:color w:val="000000"/>
          <w:spacing w:val="0"/>
          <w:sz w:val="21"/>
        </w:rPr>
        <w:t xml:space="preserve"> N</w:t>
      </w:r>
      <w:r>
        <w:rPr>
          <w:rFonts w:ascii="Times New Roman"/>
          <w:color w:val="000000"/>
          <w:spacing w:val="-2"/>
          <w:sz w:val="21"/>
          <w:vertAlign w:val="subscript"/>
        </w:rPr>
        <w:t>6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甲基腺嘌呤，分别被称为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的第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6</w:t>
      </w:r>
    </w:p>
    <w:p w14:paraId="57FBE0B3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个碱基。关于这两个碱基的说法，正确的是（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D78CC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均含有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元素</w:t>
      </w:r>
    </w:p>
    <w:p w14:paraId="210433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均含有脱氧核糖</w:t>
      </w:r>
    </w:p>
    <w:p w14:paraId="6D0664D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都排列在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骨架的外侧</w:t>
      </w:r>
    </w:p>
    <w:p w14:paraId="76E660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都不参与碱基互补配对</w:t>
      </w:r>
    </w:p>
    <w:p w14:paraId="2FB9C2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我国科研工作者利用病毒衣亮蛋白</w:t>
      </w:r>
      <w:r>
        <w:rPr>
          <w:rFonts w:ascii="Times New Roman"/>
          <w:color w:val="000000"/>
          <w:spacing w:val="0"/>
          <w:sz w:val="21"/>
        </w:rPr>
        <w:t xml:space="preserve"> VP16 </w:t>
      </w:r>
      <w:r>
        <w:rPr>
          <w:rFonts w:ascii="宋体" w:hAnsi="宋体" w:cs="宋体"/>
          <w:color w:val="000000"/>
          <w:spacing w:val="0"/>
          <w:sz w:val="21"/>
        </w:rPr>
        <w:t>作为纳米骨架，包裹大肠杆菌碱性磷酸酶，构建了高效、易调</w:t>
      </w:r>
    </w:p>
    <w:p w14:paraId="6D9AEBF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控的蛋白类纳米酶。关于该纳米酶的说法，错误的是（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0EF565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催化效率受</w:t>
      </w:r>
      <w:r>
        <w:rPr>
          <w:rFonts w:ascii="Times New Roman"/>
          <w:color w:val="000000"/>
          <w:spacing w:val="0"/>
          <w:sz w:val="21"/>
        </w:rPr>
        <w:t xml:space="preserve"> pH</w:t>
      </w:r>
      <w:r>
        <w:rPr>
          <w:rFonts w:ascii="宋体" w:hAnsi="宋体" w:cs="宋体"/>
          <w:color w:val="000000"/>
          <w:spacing w:val="0"/>
          <w:sz w:val="21"/>
        </w:rPr>
        <w:t>、温度影响</w:t>
      </w:r>
    </w:p>
    <w:p w14:paraId="4C3DCFC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可在细胞内发挥作用</w:t>
      </w:r>
    </w:p>
    <w:p w14:paraId="6E3DFF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显著降低反应的活化能</w:t>
      </w:r>
    </w:p>
    <w:p w14:paraId="504767C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可催化肽键的断裂</w:t>
      </w:r>
    </w:p>
    <w:p w14:paraId="6D8659F2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39744C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EA6AFB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A2AF1E6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B881FC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771E9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7" o:spid="_x0000_s103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8" o:spid="_x0000_s103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9" o:spid="_x0000_s103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10" o:spid="_x0000_s1036" o:spt="75" type="#_x0000_t75" style="position:absolute;left:0pt;margin-left:108.55pt;margin-top:514.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11" o:spid="_x0000_s1037" o:spt="75" type="#_x0000_t75" style="position:absolute;left:0pt;margin-left:53pt;margin-top:536.25pt;height:105.55pt;width:20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百香果具有较高的经济价值，在广西多地种植，赋能乡村振兴。为探究百香果健壮枝条生根的最适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2,4-D</w:t>
      </w:r>
    </w:p>
    <w:p w14:paraId="1F5BB1C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浓度，某兴趣小组提出实验方案，其中不合理的是（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A3C36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设置清水组作为空白对照</w:t>
      </w:r>
    </w:p>
    <w:p w14:paraId="3C2965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</w:t>
      </w:r>
      <w:r>
        <w:rPr>
          <w:rFonts w:ascii="Times New Roman"/>
          <w:color w:val="000000"/>
          <w:spacing w:val="0"/>
          <w:sz w:val="21"/>
        </w:rPr>
        <w:t xml:space="preserve"> 2,4-D </w:t>
      </w:r>
      <w:r>
        <w:rPr>
          <w:rFonts w:ascii="宋体" w:hAnsi="宋体" w:cs="宋体"/>
          <w:color w:val="000000"/>
          <w:spacing w:val="0"/>
          <w:sz w:val="21"/>
        </w:rPr>
        <w:t>浓度作为自变量</w:t>
      </w:r>
    </w:p>
    <w:p w14:paraId="174B40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将枝条生根的数量及生根的长度作为因变量</w:t>
      </w:r>
    </w:p>
    <w:p w14:paraId="1DDBC00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随机选择生长状况不同的枝条作为实验材料</w:t>
      </w:r>
    </w:p>
    <w:p w14:paraId="3ABDEB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我国科研人员研发了一种长效胰岛素制剂。当血糖浓度升高时，该制剂能迅速释放胰岛素，使血糖恢复</w:t>
      </w:r>
    </w:p>
    <w:p w14:paraId="375FB06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正常，之后缓慢持续释放微盟胰岛素，维持血糖稳定。关于该制剂的说法，错误的是（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9C279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参与维持血糖浓度的动态平衡</w:t>
      </w:r>
    </w:p>
    <w:p w14:paraId="5770E8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适宜采用注射方式给药</w:t>
      </w:r>
    </w:p>
    <w:p w14:paraId="44B0C11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释放胰岛素受神经系统直接调控</w:t>
      </w:r>
    </w:p>
    <w:p w14:paraId="7A0195F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药效受机体内环境的影响</w:t>
      </w:r>
    </w:p>
    <w:p w14:paraId="14BED0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屠呦呦等科学家发现青蒿素，为全球疟疾治疗做出突出贡献。随着时间推移。发现疟原虫对单方青蒿素</w:t>
      </w:r>
    </w:p>
    <w:p w14:paraId="0DAF6F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出现了一定抗药性，为了解决该问题，我国科学家继续研发出高效的青蒿素联合疗法并广泛应用。下列说</w:t>
      </w:r>
    </w:p>
    <w:p w14:paraId="058B98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D628AE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疟原虫出现抗药性，说明疟原虫种群在进化</w:t>
      </w:r>
    </w:p>
    <w:p w14:paraId="7D7C8DA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受单方青蒿素刺激，疟原虫产生了抗药性变异</w:t>
      </w:r>
    </w:p>
    <w:p w14:paraId="5A6740C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若一直使用单方青蒿素，疟原虫种群抗药性基因频率会上升</w:t>
      </w:r>
    </w:p>
    <w:p w14:paraId="0B1621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青蒿素联合疗法，可以有效地杀灭感染人体的抗药性疟原虫</w:t>
      </w:r>
    </w:p>
    <w:p w14:paraId="283F30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在某稳定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鱼塘生态系统中，食物网如图所示，其中鲈鱼为主要经济鱼类。下列说法错误的是（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EF5454B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该生态系统中，含有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条食物链</w:t>
      </w:r>
    </w:p>
    <w:p w14:paraId="620EB17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该生态系统中，太阳鱼只属于第三营养级</w:t>
      </w:r>
    </w:p>
    <w:p w14:paraId="6C5A79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消除甲壳类会降低该生态系统的抵抗力稳定性</w:t>
      </w:r>
    </w:p>
    <w:p w14:paraId="2D58CBD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消除捕食性双翅目幼虫，可以提高流入鲈鱼的能量</w:t>
      </w:r>
    </w:p>
    <w:p w14:paraId="17CD28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白头叶猴为广西特有的濒危保护动物。为了调查其种群数量，可采用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粪便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分析法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，主要步骤有：</w:t>
      </w:r>
    </w:p>
    <w:p w14:paraId="365A8804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E63230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384EB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664E39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4" o:spid="_x0000_s104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5" o:spid="_x0000_s1041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6" o:spid="_x0000_s104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7" o:spid="_x0000_s1043" o:spt="75" type="#_x0000_t75" style="position:absolute;left:0pt;margin-left:60.5pt;margin-top:201.6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8" o:spid="_x0000_s1044" o:spt="75" type="#_x0000_t75" style="position:absolute;left:0pt;margin-left:53pt;margin-top:287.85pt;height:179.8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2"/>
          <w:sz w:val="21"/>
        </w:rPr>
        <w:t>采集白头叶猴粪便，分析其中白头叶猴的微卫塑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宋体" w:hAnsi="宋体" w:cs="宋体"/>
          <w:color w:val="000000"/>
          <w:spacing w:val="-4"/>
          <w:sz w:val="21"/>
        </w:rPr>
        <w:t>（能根据其差别来识别不同个体）等。关于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粪便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</w:p>
    <w:p w14:paraId="3C65F9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分析法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的叙述，错误的是（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69456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属于样方法，需随机划定样方采集粪便</w:t>
      </w:r>
    </w:p>
    <w:p w14:paraId="79036B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无需抓捕，避免对白头叶猴个体的伤害</w:t>
      </w:r>
    </w:p>
    <w:p w14:paraId="5A99E8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调查得到的种群数量，常小于真实数量</w:t>
      </w:r>
    </w:p>
    <w:p w14:paraId="1362F049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宜采集新鲜粪便，以免其中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降解</w:t>
      </w:r>
    </w:p>
    <w:p w14:paraId="3D9A4E2A">
      <w:pPr>
        <w:spacing w:before="367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水稻（</w:t>
      </w:r>
      <w:r>
        <w:rPr>
          <w:rFonts w:ascii="Times New Roman"/>
          <w:color w:val="000000"/>
          <w:spacing w:val="0"/>
          <w:sz w:val="21"/>
        </w:rPr>
        <w:t>2N=24</w:t>
      </w:r>
      <w:r>
        <w:rPr>
          <w:rFonts w:ascii="宋体" w:hAnsi="宋体" w:cs="宋体"/>
          <w:color w:val="000000"/>
          <w:spacing w:val="0"/>
          <w:sz w:val="21"/>
        </w:rPr>
        <w:t>）是我国主要粮食作物之一，研究发现水稻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基因与花粉正常发育相关。科研人员</w:t>
      </w:r>
    </w:p>
    <w:p w14:paraId="307B83D6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将野生型和双突变型（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3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3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基因突变）的花粉母细胞进行染色，观察得到如图的减数分裂Ⅰ过程。下列</w:t>
      </w:r>
    </w:p>
    <w:p w14:paraId="6642AA15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4D1C61">
      <w:pPr>
        <w:spacing w:before="398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图（</w:t>
      </w: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）中出现明显的染色体，可知该时期是减数分裂Ⅰ后期</w:t>
      </w:r>
    </w:p>
    <w:p w14:paraId="59B21B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水稻的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个花粉母细胞完成减数分裂，只产生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个子代细胞</w:t>
      </w:r>
    </w:p>
    <w:p w14:paraId="32051D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野生型水稻减数分裂Ⅰ过程，产生的子代细胞含有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条染色体</w:t>
      </w:r>
    </w:p>
    <w:p w14:paraId="6B9DA373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S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基因可通过控制同源染色体的联会，进而影响花粉发育</w:t>
      </w:r>
    </w:p>
    <w:p w14:paraId="612A7E3D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科学家通过小鼠低蛋白饮食与正常饮食的对比实验，发现亲代的低蛋白饮食可影响自身基因表达（其机</w:t>
      </w:r>
    </w:p>
    <w:p w14:paraId="72E328F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理如图），且这种影响可遗传给子代。据图分析，下列说法正确的是（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DDE959">
      <w:pPr>
        <w:spacing w:before="324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A10201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C8B284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55F5C12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45FBCC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4C1E3B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1" o:spid="_x0000_s1047" o:spt="75" type="#_x0000_t75" style="position:absolute;left:0pt;margin-left:53pt;margin-top:68.05pt;height:167.8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22" o:spid="_x0000_s1048" o:spt="75" type="#_x0000_t75" style="position:absolute;left:0pt;margin-left:53pt;margin-top:378pt;height:188.1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23" o:spid="_x0000_s104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自身基因表达和表型发生变化的现象，称为表观遗传</w:t>
      </w:r>
    </w:p>
    <w:p w14:paraId="0E08D32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组蛋白甲基化水平增加，将导致相关基因表达水平降低</w:t>
      </w:r>
    </w:p>
    <w:p w14:paraId="510CA3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color w:val="000000"/>
          <w:spacing w:val="-6"/>
          <w:sz w:val="21"/>
        </w:rPr>
        <w:t>ATF7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的磷酸化，将导致组蛋白表观遗传修饰水平提高</w:t>
      </w:r>
    </w:p>
    <w:p w14:paraId="7F5902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亲代的低蛋白饮食，会改变子代小鼠的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碱基序列</w:t>
      </w:r>
    </w:p>
    <w:p w14:paraId="458A992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科研工作者以烟草悬浮细胞为材料，研究不同质量浓度的聚乙二醇（</w:t>
      </w:r>
      <w:r>
        <w:rPr>
          <w:rFonts w:ascii="Times New Roman"/>
          <w:color w:val="000000"/>
          <w:spacing w:val="0"/>
          <w:sz w:val="21"/>
        </w:rPr>
        <w:t>PEG</w:t>
      </w:r>
      <w:r>
        <w:rPr>
          <w:rFonts w:ascii="宋体" w:hAnsi="宋体" w:cs="宋体"/>
          <w:color w:val="000000"/>
          <w:spacing w:val="-2"/>
          <w:sz w:val="21"/>
        </w:rPr>
        <w:t>）对细胞膜通透性的影响，结</w:t>
      </w:r>
    </w:p>
    <w:p w14:paraId="0C3DB74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果如图所示。下列说法错误的是（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7B8CF90">
      <w:pPr>
        <w:spacing w:before="398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高浓度</w:t>
      </w:r>
      <w:r>
        <w:rPr>
          <w:rFonts w:ascii="Times New Roman"/>
          <w:color w:val="000000"/>
          <w:spacing w:val="0"/>
          <w:sz w:val="21"/>
        </w:rPr>
        <w:t xml:space="preserve"> PEG </w:t>
      </w:r>
      <w:r>
        <w:rPr>
          <w:rFonts w:ascii="宋体" w:hAnsi="宋体" w:cs="宋体"/>
          <w:color w:val="000000"/>
          <w:spacing w:val="0"/>
          <w:sz w:val="21"/>
        </w:rPr>
        <w:t>使细胞活力显著下降</w:t>
      </w:r>
    </w:p>
    <w:p w14:paraId="45E24F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随着</w:t>
      </w:r>
      <w:r>
        <w:rPr>
          <w:rFonts w:ascii="Times New Roman"/>
          <w:color w:val="000000"/>
          <w:spacing w:val="0"/>
          <w:sz w:val="21"/>
        </w:rPr>
        <w:t xml:space="preserve"> PEG </w:t>
      </w:r>
      <w:r>
        <w:rPr>
          <w:rFonts w:ascii="宋体" w:hAnsi="宋体" w:cs="宋体"/>
          <w:color w:val="000000"/>
          <w:spacing w:val="0"/>
          <w:sz w:val="21"/>
        </w:rPr>
        <w:t>浓度增加，</w:t>
      </w:r>
      <w:r>
        <w:rPr>
          <w:rFonts w:ascii="Times New Roman"/>
          <w:color w:val="000000"/>
          <w:spacing w:val="-6"/>
          <w:sz w:val="21"/>
        </w:rPr>
        <w:t>eATP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6"/>
          <w:sz w:val="21"/>
        </w:rPr>
        <w:t>iATP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总量持续增加</w:t>
      </w:r>
    </w:p>
    <w:p w14:paraId="35A5F8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color w:val="000000"/>
          <w:spacing w:val="-6"/>
          <w:sz w:val="21"/>
        </w:rPr>
        <w:t>iATP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相对水平越高，说明细胞膜的通透性越小</w:t>
      </w:r>
    </w:p>
    <w:p w14:paraId="5B7FD4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PEG </w:t>
      </w:r>
      <w:r>
        <w:rPr>
          <w:rFonts w:ascii="宋体" w:hAnsi="宋体" w:cs="宋体"/>
          <w:color w:val="000000"/>
          <w:spacing w:val="0"/>
          <w:sz w:val="21"/>
        </w:rPr>
        <w:t>胁迫下，</w:t>
      </w:r>
      <w:r>
        <w:rPr>
          <w:rFonts w:ascii="Times New Roman"/>
          <w:color w:val="000000"/>
          <w:spacing w:val="-6"/>
          <w:sz w:val="21"/>
        </w:rPr>
        <w:t>cATP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相对水平与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6"/>
          <w:sz w:val="21"/>
        </w:rPr>
        <w:t>iATP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相对水平呈负相关</w:t>
      </w:r>
    </w:p>
    <w:p w14:paraId="0FF311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为了研究游客投喂对某森林公园内野生猕猴种群数量的影响，研究人员进行了跟踪调查，结果见图。下</w:t>
      </w:r>
    </w:p>
    <w:p w14:paraId="7269A81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列关于游客投喂对猴群的影响，叙述错误的是（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C5C6D9A">
      <w:pPr>
        <w:spacing w:before="136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07CDAE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533BF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3843692">
      <w:pPr>
        <w:sectPr>
          <w:pgSz w:w="11900" w:h="16840"/>
          <w:pgMar w:top="48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62181D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B7C0C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4" o:spid="_x0000_s1050" o:spt="75" type="#_x0000_t75" style="position:absolute;left:0pt;margin-left:53pt;margin-top:62.5pt;height:190.6pt;width:296.5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21" croptop="6434f" cropright="-5693f" o:title=""/>
            <o:lock v:ext="edit" aspectratio="t"/>
          </v:shape>
        </w:pict>
      </w:r>
      <w:r>
        <w:pict>
          <v:shape id="_x000025" o:spid="_x0000_s105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6" o:spid="_x0000_s1052" o:spt="75" type="#_x0000_t75" style="position:absolute;left:0pt;margin-left:53pt;margin-top:420pt;height:119.8pt;width:304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27" o:spid="_x0000_s105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使猴群的种群增长率一直增加</w:t>
      </w:r>
    </w:p>
    <w:p w14:paraId="5F1D9D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降低了园区内猴群的环境阻力</w:t>
      </w:r>
    </w:p>
    <w:p w14:paraId="4F2E092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使猴群数量增加，可能导致外溢</w:t>
      </w:r>
    </w:p>
    <w:p w14:paraId="158D74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降低种群密度对猴群数量的制约作用</w:t>
      </w:r>
    </w:p>
    <w:p w14:paraId="2BC4DD29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人体心室肌细胞内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浓度高于胞外，</w:t>
      </w: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-7"/>
          <w:sz w:val="21"/>
        </w:rPr>
        <w:t>浓度低于胞外。心室肌细胞静息电位和动作电位的产生（如图），</w:t>
      </w:r>
    </w:p>
    <w:p w14:paraId="5D9EBB72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主要与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的流动有关。图中</w:t>
      </w:r>
      <w:r>
        <w:rPr>
          <w:rFonts w:ascii="Times New Roman"/>
          <w:color w:val="000000"/>
          <w:spacing w:val="0"/>
          <w:sz w:val="21"/>
        </w:rPr>
        <w:t xml:space="preserve"> 0 </w:t>
      </w:r>
      <w:r>
        <w:rPr>
          <w:rFonts w:ascii="宋体" w:hAnsi="宋体" w:cs="宋体"/>
          <w:color w:val="000000"/>
          <w:spacing w:val="0"/>
          <w:sz w:val="21"/>
        </w:rPr>
        <w:t>期为去极化：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期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通道关闭，同时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外流；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期出现主要</w:t>
      </w:r>
    </w:p>
    <w:p w14:paraId="37AAA608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依赖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Ca</w:t>
      </w:r>
      <w:r>
        <w:rPr>
          <w:rFonts w:ascii="Times New Roman"/>
          <w:color w:val="000000"/>
          <w:spacing w:val="0"/>
          <w:sz w:val="23"/>
          <w:vertAlign w:val="superscript"/>
        </w:rPr>
        <w:t>2+</w:t>
      </w:r>
      <w:r>
        <w:rPr>
          <w:rFonts w:ascii="宋体" w:hAnsi="宋体" w:cs="宋体"/>
          <w:color w:val="000000"/>
          <w:spacing w:val="0"/>
          <w:sz w:val="21"/>
        </w:rPr>
        <w:t>的流动。下列说法错误的是（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19B15D8">
      <w:pPr>
        <w:spacing w:before="2706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静息电位主要由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外流造成</w:t>
      </w:r>
    </w:p>
    <w:p w14:paraId="65C28E72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0 </w:t>
      </w:r>
      <w:r>
        <w:rPr>
          <w:rFonts w:ascii="宋体" w:hAnsi="宋体" w:cs="宋体"/>
          <w:color w:val="000000"/>
          <w:spacing w:val="0"/>
          <w:sz w:val="21"/>
        </w:rPr>
        <w:t>期的产生依赖于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快速内流</w:t>
      </w:r>
    </w:p>
    <w:p w14:paraId="47B3F10C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1 </w:t>
      </w:r>
      <w:r>
        <w:rPr>
          <w:rFonts w:ascii="宋体" w:hAnsi="宋体" w:cs="宋体"/>
          <w:color w:val="000000"/>
          <w:spacing w:val="0"/>
          <w:sz w:val="21"/>
        </w:rPr>
        <w:t>期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外流是通过主动运输进行</w:t>
      </w:r>
    </w:p>
    <w:p w14:paraId="59D64E23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2 </w:t>
      </w:r>
      <w:r>
        <w:rPr>
          <w:rFonts w:ascii="宋体" w:hAnsi="宋体" w:cs="宋体"/>
          <w:color w:val="000000"/>
          <w:spacing w:val="0"/>
          <w:sz w:val="21"/>
        </w:rPr>
        <w:t>期的形成是</w:t>
      </w:r>
      <w:r>
        <w:rPr>
          <w:rFonts w:ascii="Times New Roman"/>
          <w:color w:val="000000"/>
          <w:spacing w:val="0"/>
          <w:sz w:val="21"/>
        </w:rPr>
        <w:t xml:space="preserve"> K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外流和</w:t>
      </w:r>
      <w:r>
        <w:rPr>
          <w:rFonts w:ascii="Times New Roman"/>
          <w:color w:val="000000"/>
          <w:spacing w:val="0"/>
          <w:sz w:val="21"/>
        </w:rPr>
        <w:t xml:space="preserve"> Ca</w:t>
      </w:r>
      <w:r>
        <w:rPr>
          <w:rFonts w:ascii="Times New Roman"/>
          <w:color w:val="000000"/>
          <w:spacing w:val="0"/>
          <w:sz w:val="23"/>
          <w:vertAlign w:val="superscript"/>
        </w:rPr>
        <w:t>2+</w:t>
      </w:r>
      <w:r>
        <w:rPr>
          <w:rFonts w:ascii="宋体" w:hAnsi="宋体" w:cs="宋体"/>
          <w:color w:val="000000"/>
          <w:spacing w:val="0"/>
          <w:sz w:val="21"/>
        </w:rPr>
        <w:t>内流导致</w:t>
      </w:r>
    </w:p>
    <w:p w14:paraId="793072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某种观赏花卉（两性花）有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种表型：紫色、大红色、浅红色和白色，由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对等位基因（</w:t>
      </w:r>
      <w:r>
        <w:rPr>
          <w:rFonts w:ascii="Times New Roman"/>
          <w:color w:val="000000"/>
          <w:spacing w:val="0"/>
          <w:sz w:val="21"/>
        </w:rPr>
        <w:t>A/a</w:t>
      </w:r>
      <w:r>
        <w:rPr>
          <w:rFonts w:ascii="宋体" w:hAnsi="宋体" w:cs="宋体"/>
          <w:color w:val="000000"/>
          <w:spacing w:val="-27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B/b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D/d</w:t>
      </w:r>
    </w:p>
    <w:p w14:paraId="2843DA6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）共同决定，其中只要含有</w:t>
      </w:r>
      <w:r>
        <w:rPr>
          <w:rFonts w:ascii="Times New Roman"/>
          <w:color w:val="000000"/>
          <w:spacing w:val="0"/>
          <w:sz w:val="21"/>
        </w:rPr>
        <w:t xml:space="preserve"> aa </w:t>
      </w:r>
      <w:r>
        <w:rPr>
          <w:rFonts w:ascii="宋体" w:hAnsi="宋体" w:cs="宋体"/>
          <w:color w:val="000000"/>
          <w:spacing w:val="0"/>
          <w:sz w:val="21"/>
        </w:rPr>
        <w:t>就表现白色，且</w:t>
      </w:r>
      <w:r>
        <w:rPr>
          <w:rFonts w:ascii="Times New Roman"/>
          <w:color w:val="000000"/>
          <w:spacing w:val="0"/>
          <w:sz w:val="21"/>
        </w:rPr>
        <w:t xml:space="preserve"> Aa </w:t>
      </w:r>
      <w:r>
        <w:rPr>
          <w:rFonts w:ascii="宋体" w:hAnsi="宋体" w:cs="宋体"/>
          <w:color w:val="000000"/>
          <w:spacing w:val="0"/>
          <w:sz w:val="21"/>
        </w:rPr>
        <w:t>与另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对等位基因不在同一对同源染色体上。现有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4A03C9E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不同纯合品系甲、乙、丙和丁，它们之间的杂交情况（无突变、致死和染色体互换）见表。下列分析正确</w:t>
      </w:r>
    </w:p>
    <w:p w14:paraId="78BCCCB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E29C9DC">
      <w:pPr>
        <w:spacing w:before="90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FF5CC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73306C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504497F">
      <w:pPr>
        <w:sectPr>
          <w:pgSz w:w="11900" w:h="16840"/>
          <w:pgMar w:top="518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A5755C9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8" o:spid="_x0000_s1054" o:spt="75" type="#_x0000_t75" style="position:absolute;left:0pt;margin-left:47pt;margin-top:62.55pt;height:170.3pt;width:330.6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24" croptop="7133f" cropright="-2319f" o:title=""/>
            <o:lock v:ext="edit" aspectratio="t"/>
          </v:shape>
        </w:pict>
      </w:r>
      <w:r>
        <w:pict>
          <v:shape id="_x000029" o:spid="_x0000_s105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30" o:spid="_x0000_s1056" o:spt="75" type="#_x0000_t75" style="position:absolute;left:0pt;margin-left:53pt;margin-top:424.5pt;height:99.55pt;width:38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31" o:spid="_x0000_s105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32" o:spid="_x0000_s1058" o:spt="75" type="#_x0000_t75" style="position:absolute;left:0pt;margin-left:107.05pt;margin-top:282.6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组</w:t>
      </w:r>
    </w:p>
    <w:p w14:paraId="7D05663C">
      <w:pPr>
        <w:spacing w:before="11" w:after="0" w:line="234" w:lineRule="exact"/>
        <w:ind w:left="0" w:right="5452" w:firstLine="632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杂交组合</w:t>
      </w:r>
      <w:r>
        <w:rPr>
          <w:rFonts w:ascii="Times New Roman"/>
          <w:color w:val="000000"/>
          <w:spacing w:val="15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39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自交，得到</w:t>
      </w:r>
      <w:r>
        <w:rPr>
          <w:rFonts w:ascii="Times New Roman"/>
          <w:color w:val="000000"/>
          <w:spacing w:val="0"/>
          <w:sz w:val="21"/>
        </w:rPr>
        <w:t xml:space="preserve"> F</w:t>
      </w:r>
      <w:r>
        <w:rPr>
          <w:rFonts w:ascii="Times New Roman"/>
          <w:color w:val="000000"/>
          <w:spacing w:val="0"/>
          <w:sz w:val="21"/>
          <w:vertAlign w:val="subscript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别</w:t>
      </w:r>
    </w:p>
    <w:p w14:paraId="2525959A">
      <w:pPr>
        <w:spacing w:before="413" w:after="0" w:line="220" w:lineRule="exact"/>
        <w:ind w:left="30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紫</w:t>
      </w:r>
    </w:p>
    <w:p w14:paraId="7EFBAF0D">
      <w:pPr>
        <w:spacing w:before="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/>
          <w:color w:val="000000"/>
          <w:spacing w:val="3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甲（紫色）</w:t>
      </w:r>
      <w:r>
        <w:rPr>
          <w:rFonts w:ascii="Times New Roman" w:hAnsi="Times New Roman" w:cs="Times New Roman"/>
          <w:color w:val="000000"/>
          <w:spacing w:val="0"/>
          <w:sz w:val="21"/>
        </w:rPr>
        <w:t>×</w:t>
      </w:r>
      <w:r>
        <w:rPr>
          <w:rFonts w:ascii="宋体" w:hAnsi="宋体" w:cs="宋体"/>
          <w:color w:val="000000"/>
          <w:spacing w:val="0"/>
          <w:sz w:val="21"/>
        </w:rPr>
        <w:t>乙（白色）</w:t>
      </w:r>
      <w:r>
        <w:rPr>
          <w:rFonts w:ascii="Times New Roman"/>
          <w:color w:val="000000"/>
          <w:spacing w:val="79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紫色</w:t>
      </w:r>
      <w:r>
        <w:rPr>
          <w:rFonts w:ascii="Times New Roman"/>
          <w:color w:val="000000"/>
          <w:spacing w:val="0"/>
          <w:sz w:val="21"/>
        </w:rPr>
        <w:t>:</w:t>
      </w:r>
      <w:r>
        <w:rPr>
          <w:rFonts w:ascii="宋体" w:hAnsi="宋体" w:cs="宋体"/>
          <w:color w:val="000000"/>
          <w:spacing w:val="0"/>
          <w:sz w:val="21"/>
        </w:rPr>
        <w:t>浅红色</w:t>
      </w:r>
      <w:r>
        <w:rPr>
          <w:rFonts w:ascii="Times New Roman"/>
          <w:color w:val="000000"/>
          <w:spacing w:val="0"/>
          <w:sz w:val="21"/>
        </w:rPr>
        <w:t>:</w:t>
      </w:r>
      <w:r>
        <w:rPr>
          <w:rFonts w:ascii="宋体" w:hAnsi="宋体" w:cs="宋体"/>
          <w:color w:val="000000"/>
          <w:spacing w:val="0"/>
          <w:sz w:val="21"/>
        </w:rPr>
        <w:t>白色</w:t>
      </w:r>
      <w:r>
        <w:rPr>
          <w:rFonts w:ascii="Times New Roman" w:hAnsi="Times New Roman" w:cs="Times New Roman"/>
          <w:color w:val="000000"/>
          <w:spacing w:val="0"/>
          <w:sz w:val="21"/>
        </w:rPr>
        <w:t>≈9:3:4</w:t>
      </w:r>
    </w:p>
    <w:p w14:paraId="2BEF3B3D">
      <w:pPr>
        <w:spacing w:before="3" w:after="383" w:line="220" w:lineRule="exact"/>
        <w:ind w:left="30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色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3680"/>
        <w:gridCol w:w="20"/>
        <w:gridCol w:w="2214"/>
      </w:tblGrid>
      <w:tr w14:paraId="75AED25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8" w:hRule="atLeast"/>
        </w:trPr>
        <w:tc>
          <w:tcPr>
            <w:tcW w:w="3680" w:type="dxa"/>
            <w:noWrap w:val="0"/>
            <w:vAlign w:val="top"/>
          </w:tcPr>
          <w:p w14:paraId="57045EE3">
            <w:pPr>
              <w:spacing w:before="0" w:after="0" w:line="210" w:lineRule="exact"/>
              <w:ind w:left="3069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宋体" w:hAnsi="宋体" w:cs="宋体"/>
                <w:color w:val="000000"/>
                <w:spacing w:val="0"/>
                <w:sz w:val="21"/>
              </w:rPr>
              <w:t>紫</w:t>
            </w:r>
          </w:p>
          <w:p w14:paraId="19641316">
            <w:pPr>
              <w:spacing w:before="0" w:after="0" w:line="468" w:lineRule="exact"/>
              <w:ind w:left="3069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宋体" w:hAnsi="宋体" w:cs="宋体"/>
                <w:color w:val="000000"/>
                <w:spacing w:val="0"/>
                <w:sz w:val="21"/>
              </w:rPr>
              <w:t>色</w:t>
            </w:r>
          </w:p>
          <w:p w14:paraId="32B57046">
            <w:pPr>
              <w:spacing w:before="0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宋体" w:hAnsi="宋体" w:cs="宋体"/>
                <w:color w:val="000000"/>
                <w:spacing w:val="0"/>
                <w:sz w:val="21"/>
              </w:rPr>
              <w:t>Ⅱ</w:t>
            </w:r>
            <w:r>
              <w:rPr>
                <w:rFonts w:ascii="Times New Roman"/>
                <w:color w:val="000000"/>
                <w:spacing w:val="369"/>
                <w:sz w:val="21"/>
              </w:rPr>
              <w:t xml:space="preserve"> </w:t>
            </w:r>
            <w:r>
              <w:rPr>
                <w:rFonts w:ascii="宋体" w:hAnsi="宋体" w:cs="宋体"/>
                <w:color w:val="000000"/>
                <w:spacing w:val="-1"/>
                <w:sz w:val="21"/>
              </w:rPr>
              <w:t>丙（大红色）</w:t>
            </w:r>
            <w:r>
              <w:rPr>
                <w:rFonts w:ascii="Times New Roman" w:hAnsi="Times New Roman" w:cs="Times New Roman"/>
                <w:color w:val="000000"/>
                <w:spacing w:val="0"/>
                <w:sz w:val="21"/>
              </w:rPr>
              <w:t>×</w:t>
            </w:r>
            <w:r>
              <w:rPr>
                <w:rFonts w:ascii="宋体" w:hAnsi="宋体" w:cs="宋体"/>
                <w:color w:val="000000"/>
                <w:spacing w:val="-1"/>
                <w:sz w:val="21"/>
              </w:rPr>
              <w:t>丁（白色）</w:t>
            </w:r>
          </w:p>
        </w:tc>
        <w:tc>
          <w:tcPr>
            <w:tcW w:w="20" w:type="dxa"/>
            <w:noWrap w:val="0"/>
            <w:vAlign w:val="top"/>
          </w:tcPr>
          <w:p w14:paraId="1D29C85A">
            <w:pPr>
              <w:spacing w:before="0" w:after="0" w:line="0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2214" w:type="dxa"/>
            <w:noWrap w:val="0"/>
            <w:vAlign w:val="top"/>
          </w:tcPr>
          <w:p w14:paraId="7C9BB47A">
            <w:pPr>
              <w:spacing w:before="223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宋体" w:hAnsi="宋体" w:cs="宋体"/>
                <w:color w:val="000000"/>
                <w:spacing w:val="0"/>
                <w:sz w:val="21"/>
              </w:rPr>
              <w:t>紫色</w:t>
            </w:r>
            <w:r>
              <w:rPr>
                <w:rFonts w:ascii="Times New Roman"/>
                <w:color w:val="000000"/>
                <w:spacing w:val="0"/>
                <w:sz w:val="21"/>
              </w:rPr>
              <w:t>:</w:t>
            </w:r>
            <w:r>
              <w:rPr>
                <w:rFonts w:ascii="宋体" w:hAnsi="宋体" w:cs="宋体"/>
                <w:color w:val="000000"/>
                <w:spacing w:val="0"/>
                <w:sz w:val="21"/>
              </w:rPr>
              <w:t>大红色</w:t>
            </w:r>
            <w:r>
              <w:rPr>
                <w:rFonts w:ascii="Times New Roman"/>
                <w:color w:val="000000"/>
                <w:spacing w:val="0"/>
                <w:sz w:val="21"/>
              </w:rPr>
              <w:t>:</w:t>
            </w:r>
            <w:r>
              <w:rPr>
                <w:rFonts w:ascii="宋体" w:hAnsi="宋体" w:cs="宋体"/>
                <w:color w:val="000000"/>
                <w:spacing w:val="0"/>
                <w:sz w:val="21"/>
              </w:rPr>
              <w:t>白色</w:t>
            </w:r>
            <w:r>
              <w:rPr>
                <w:rFonts w:ascii="Times New Roman" w:hAnsi="Times New Roman" w:cs="Times New Roman"/>
                <w:color w:val="000000"/>
                <w:spacing w:val="0"/>
                <w:sz w:val="21"/>
              </w:rPr>
              <w:t>≈6:6:4</w:t>
            </w:r>
          </w:p>
        </w:tc>
      </w:tr>
    </w:tbl>
    <w:p w14:paraId="356441C3">
      <w:pPr>
        <w:spacing w:before="80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B/b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D/d </w:t>
      </w:r>
      <w:r>
        <w:rPr>
          <w:rFonts w:ascii="宋体" w:hAnsi="宋体" w:cs="宋体"/>
          <w:color w:val="000000"/>
          <w:spacing w:val="0"/>
          <w:sz w:val="21"/>
        </w:rPr>
        <w:t>不在同一对同源染色体上，遵循自由组合定律</w:t>
      </w:r>
    </w:p>
    <w:p w14:paraId="7ACB5ED6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Ⅰ、Ⅱ组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个体，基因型分别是</w:t>
      </w:r>
      <w:r>
        <w:rPr>
          <w:rFonts w:ascii="Times New Roman"/>
          <w:color w:val="000000"/>
          <w:spacing w:val="0"/>
          <w:sz w:val="21"/>
        </w:rPr>
        <w:t xml:space="preserve"> AaBBDd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AaBbDD</w:t>
      </w:r>
    </w:p>
    <w:p w14:paraId="3DAAA6C9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Ⅰ组产生的</w:t>
      </w:r>
      <w:r>
        <w:rPr>
          <w:rFonts w:ascii="Times New Roman"/>
          <w:color w:val="000000"/>
          <w:spacing w:val="0"/>
          <w:sz w:val="21"/>
        </w:rPr>
        <w:t xml:space="preserve"> F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，其紫色个体中有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种基因型</w:t>
      </w:r>
    </w:p>
    <w:p w14:paraId="5782B3C7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Ⅱ组产生的</w:t>
      </w:r>
      <w:r>
        <w:rPr>
          <w:rFonts w:ascii="Times New Roman"/>
          <w:color w:val="000000"/>
          <w:spacing w:val="0"/>
          <w:sz w:val="21"/>
        </w:rPr>
        <w:t xml:space="preserve"> F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，其白色个体中纯合子占</w:t>
      </w:r>
      <w:r>
        <w:rPr>
          <w:rFonts w:ascii="Times New Roman"/>
          <w:color w:val="000000"/>
          <w:spacing w:val="0"/>
          <w:sz w:val="21"/>
        </w:rPr>
        <w:t xml:space="preserve"> 1/2</w:t>
      </w:r>
    </w:p>
    <w:p w14:paraId="1BB3A330">
      <w:pPr>
        <w:spacing w:before="19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60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5A743AD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17. </w:t>
      </w:r>
      <w:r>
        <w:rPr>
          <w:rFonts w:ascii="Times New Roman" w:hAnsi="Times New Roman" w:cs="Times New Roman"/>
          <w:color w:val="000000"/>
          <w:spacing w:val="0"/>
          <w:sz w:val="21"/>
        </w:rPr>
        <w:t>β-</w:t>
      </w:r>
      <w:r>
        <w:rPr>
          <w:rFonts w:ascii="宋体" w:hAnsi="宋体" w:cs="宋体"/>
          <w:color w:val="000000"/>
          <w:spacing w:val="0"/>
          <w:sz w:val="21"/>
        </w:rPr>
        <w:t>地中海贫血是人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号染色体上</w:t>
      </w:r>
      <w:r>
        <w:rPr>
          <w:rFonts w:ascii="Times New Roman" w:hAnsi="Times New Roman" w:cs="Times New Roman"/>
          <w:color w:val="000000"/>
          <w:spacing w:val="0"/>
          <w:sz w:val="21"/>
        </w:rPr>
        <w:t>β-</w:t>
      </w:r>
      <w:r>
        <w:rPr>
          <w:rFonts w:ascii="宋体" w:hAnsi="宋体" w:cs="宋体"/>
          <w:color w:val="000000"/>
          <w:spacing w:val="0"/>
          <w:sz w:val="21"/>
        </w:rPr>
        <w:t>珠蛋白基因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HBB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突变所造成的遗传病。如图为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HBB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几种常见的基因</w:t>
      </w:r>
    </w:p>
    <w:p w14:paraId="2C220AD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突变位点及功能区域示意图。回答下列问题：</w:t>
      </w:r>
    </w:p>
    <w:p w14:paraId="2D3DC7DD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注：</w:t>
      </w:r>
      <w:r>
        <w:rPr>
          <w:rFonts w:ascii="Times New Roman"/>
          <w:color w:val="000000"/>
          <w:spacing w:val="0"/>
          <w:sz w:val="21"/>
        </w:rPr>
        <w:t>-28A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中，</w:t>
      </w:r>
      <w:r>
        <w:rPr>
          <w:rFonts w:ascii="Times New Roman" w:hAnsi="Times New Roman" w:cs="Times New Roman"/>
          <w:color w:val="000000"/>
          <w:spacing w:val="0"/>
          <w:sz w:val="21"/>
        </w:rPr>
        <w:t>“-”</w:t>
      </w:r>
      <w:r>
        <w:rPr>
          <w:rFonts w:ascii="宋体" w:hAnsi="宋体" w:cs="宋体"/>
          <w:color w:val="000000"/>
          <w:spacing w:val="0"/>
          <w:sz w:val="21"/>
        </w:rPr>
        <w:t>表示转录起始位点前，数值表示碱基位点，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表示碱基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突变为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；仅标示了非模</w:t>
      </w:r>
    </w:p>
    <w:p w14:paraId="185CECA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板链上的变化，模板链也发生对应变化，但没有标示出来。</w:t>
      </w:r>
    </w:p>
    <w:p w14:paraId="33D933B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654C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突变，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（选填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会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不会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）增加该基因嘌呤碱基总数量。</w:t>
      </w:r>
      <w:r>
        <w:rPr>
          <w:rFonts w:ascii="Times New Roman"/>
          <w:color w:val="000000"/>
          <w:spacing w:val="0"/>
          <w:sz w:val="21"/>
        </w:rPr>
        <w:t>-28A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突变，会导致</w:t>
      </w:r>
      <w:r>
        <w:rPr>
          <w:rFonts w:ascii="Times New Roman" w:hAnsi="Times New Roman" w:cs="Times New Roman"/>
          <w:color w:val="000000"/>
          <w:spacing w:val="0"/>
          <w:sz w:val="21"/>
        </w:rPr>
        <w:t>β-</w:t>
      </w:r>
    </w:p>
    <w:p w14:paraId="67A214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珠蛋白的表达异常，其原因是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70C5E4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HBB </w:t>
      </w:r>
      <w:r>
        <w:rPr>
          <w:rFonts w:ascii="宋体" w:hAnsi="宋体" w:cs="宋体"/>
          <w:color w:val="000000"/>
          <w:spacing w:val="0"/>
          <w:sz w:val="21"/>
        </w:rPr>
        <w:t>在转录形成</w:t>
      </w:r>
      <w:r>
        <w:rPr>
          <w:rFonts w:ascii="Times New Roman"/>
          <w:color w:val="000000"/>
          <w:spacing w:val="0"/>
          <w:sz w:val="21"/>
        </w:rPr>
        <w:t xml:space="preserve"> mRNA </w:t>
      </w:r>
      <w:r>
        <w:rPr>
          <w:rFonts w:ascii="宋体" w:hAnsi="宋体" w:cs="宋体"/>
          <w:color w:val="000000"/>
          <w:spacing w:val="0"/>
          <w:sz w:val="21"/>
        </w:rPr>
        <w:t>的过程中，细胞核内特定</w:t>
      </w:r>
      <w:r>
        <w:rPr>
          <w:rFonts w:ascii="Times New Roman"/>
          <w:color w:val="000000"/>
          <w:spacing w:val="0"/>
          <w:sz w:val="21"/>
        </w:rPr>
        <w:t xml:space="preserve"> RNA </w:t>
      </w:r>
      <w:r>
        <w:rPr>
          <w:rFonts w:ascii="宋体" w:hAnsi="宋体" w:cs="宋体"/>
          <w:color w:val="000000"/>
          <w:spacing w:val="0"/>
          <w:sz w:val="21"/>
        </w:rPr>
        <w:t>复合物能特异性识别初级转录产物（</w:t>
      </w:r>
      <w:r>
        <w:rPr>
          <w:rFonts w:ascii="Times New Roman"/>
          <w:color w:val="000000"/>
          <w:spacing w:val="0"/>
          <w:sz w:val="21"/>
        </w:rPr>
        <w:t>mRNA</w:t>
      </w:r>
    </w:p>
    <w:p w14:paraId="18CBAF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前体），并将内含子对应区域剪切以及拼接外显子对应区域，这表明上述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RNA </w:t>
      </w:r>
      <w:r>
        <w:rPr>
          <w:rFonts w:ascii="宋体" w:hAnsi="宋体" w:cs="宋体"/>
          <w:color w:val="000000"/>
          <w:spacing w:val="0"/>
          <w:sz w:val="21"/>
        </w:rPr>
        <w:t>复合物是一种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DF5B8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）含有</w:t>
      </w:r>
      <w:r>
        <w:rPr>
          <w:rFonts w:ascii="Times New Roman"/>
          <w:color w:val="000000"/>
          <w:spacing w:val="0"/>
          <w:sz w:val="21"/>
        </w:rPr>
        <w:t xml:space="preserve"> 17A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突变的</w:t>
      </w:r>
      <w:r>
        <w:rPr>
          <w:rFonts w:ascii="Times New Roman"/>
          <w:color w:val="000000"/>
          <w:spacing w:val="0"/>
          <w:sz w:val="21"/>
        </w:rPr>
        <w:t xml:space="preserve"> HBB </w:t>
      </w:r>
      <w:r>
        <w:rPr>
          <w:rFonts w:ascii="宋体" w:hAnsi="宋体" w:cs="宋体"/>
          <w:color w:val="000000"/>
          <w:spacing w:val="0"/>
          <w:sz w:val="21"/>
        </w:rPr>
        <w:t>转录出的</w:t>
      </w:r>
      <w:r>
        <w:rPr>
          <w:rFonts w:ascii="Times New Roman"/>
          <w:color w:val="000000"/>
          <w:spacing w:val="0"/>
          <w:sz w:val="21"/>
        </w:rPr>
        <w:t xml:space="preserve"> mRNA</w:t>
      </w:r>
      <w:r>
        <w:rPr>
          <w:rFonts w:ascii="宋体" w:hAnsi="宋体" w:cs="宋体"/>
          <w:color w:val="000000"/>
          <w:spacing w:val="0"/>
          <w:sz w:val="21"/>
        </w:rPr>
        <w:t>，对应位点的碱基是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4C00E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）某男性一条染色体上的</w:t>
      </w:r>
      <w:r>
        <w:rPr>
          <w:rFonts w:ascii="Times New Roman"/>
          <w:color w:val="000000"/>
          <w:spacing w:val="0"/>
          <w:sz w:val="21"/>
        </w:rPr>
        <w:t xml:space="preserve"> HBB </w:t>
      </w:r>
      <w:r>
        <w:rPr>
          <w:rFonts w:ascii="宋体" w:hAnsi="宋体" w:cs="宋体"/>
          <w:color w:val="000000"/>
          <w:spacing w:val="0"/>
          <w:sz w:val="21"/>
        </w:rPr>
        <w:t>存在突变位点</w:t>
      </w:r>
      <w:r>
        <w:rPr>
          <w:rFonts w:ascii="Times New Roman"/>
          <w:color w:val="000000"/>
          <w:spacing w:val="0"/>
          <w:sz w:val="21"/>
        </w:rPr>
        <w:t xml:space="preserve"> W</w:t>
      </w:r>
      <w:r>
        <w:rPr>
          <w:rFonts w:ascii="宋体" w:hAnsi="宋体" w:cs="宋体"/>
          <w:color w:val="000000"/>
          <w:spacing w:val="0"/>
          <w:sz w:val="21"/>
        </w:rPr>
        <w:t>，其配偶无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突变，他们生育的孩子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（选填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一</w:t>
      </w:r>
    </w:p>
    <w:p w14:paraId="6F0F87D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定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不一定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）存在该突变，从遗传概率角度分析，其原因是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。为有效降低人群中</w:t>
      </w:r>
      <w:r>
        <w:rPr>
          <w:rFonts w:ascii="Times New Roman" w:hAnsi="Times New Roman" w:cs="Times New Roman"/>
          <w:color w:val="000000"/>
          <w:spacing w:val="0"/>
          <w:sz w:val="21"/>
        </w:rPr>
        <w:t>β-</w:t>
      </w:r>
      <w:r>
        <w:rPr>
          <w:rFonts w:ascii="宋体" w:hAnsi="宋体" w:cs="宋体"/>
          <w:color w:val="000000"/>
          <w:spacing w:val="0"/>
          <w:sz w:val="21"/>
        </w:rPr>
        <w:t>地中海贫血的</w:t>
      </w:r>
    </w:p>
    <w:p w14:paraId="72A676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发病率，可以采取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等措施。</w:t>
      </w:r>
    </w:p>
    <w:p w14:paraId="2DFBDAB0">
      <w:pPr>
        <w:spacing w:before="22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32B62F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778FFE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DDB734E">
      <w:pPr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A436C3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FCEED2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5" o:spid="_x0000_s106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36" o:spid="_x0000_s1062" o:spt="75" type="#_x0000_t75" style="position:absolute;left:0pt;margin-left:53pt;margin-top:329.95pt;height:175.35pt;width:31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37" o:spid="_x0000_s106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38" o:spid="_x0000_s1064" o:spt="75" type="#_x0000_t75" style="position:absolute;left:0pt;margin-left:141.55pt;margin-top:186.6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目前</w:t>
      </w:r>
      <w:r>
        <w:rPr>
          <w:rFonts w:ascii="Times New Roman"/>
          <w:color w:val="000000"/>
          <w:spacing w:val="0"/>
          <w:sz w:val="21"/>
        </w:rPr>
        <w:t xml:space="preserve"> 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细胞疗法在治疗血液恶性肿瘤方面具有较好效果。该疗法是在体外将特定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导入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</w:t>
      </w:r>
    </w:p>
    <w:p w14:paraId="40FC52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胞，获得</w:t>
      </w:r>
      <w:r>
        <w:rPr>
          <w:rFonts w:ascii="Times New Roman"/>
          <w:color w:val="000000"/>
          <w:spacing w:val="0"/>
          <w:sz w:val="21"/>
        </w:rPr>
        <w:t xml:space="preserve"> 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细胞，然后输入患者体内进行治疗。回答下列问题：</w:t>
      </w:r>
    </w:p>
    <w:p w14:paraId="4B0B89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细胞在体内分化、发育和成熟的主要器官是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26918B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）血液恶性肿瘤细胞表面存在特异性表达的</w:t>
      </w:r>
      <w:r>
        <w:rPr>
          <w:rFonts w:ascii="Times New Roman"/>
          <w:color w:val="000000"/>
          <w:spacing w:val="0"/>
          <w:sz w:val="21"/>
        </w:rPr>
        <w:t xml:space="preserve"> CD19 </w:t>
      </w:r>
      <w:r>
        <w:rPr>
          <w:rFonts w:ascii="宋体" w:hAnsi="宋体" w:cs="宋体"/>
          <w:color w:val="000000"/>
          <w:spacing w:val="0"/>
          <w:sz w:val="21"/>
        </w:rPr>
        <w:t>蛋白。为了使</w:t>
      </w:r>
      <w:r>
        <w:rPr>
          <w:rFonts w:ascii="Times New Roman"/>
          <w:color w:val="000000"/>
          <w:spacing w:val="0"/>
          <w:sz w:val="21"/>
        </w:rPr>
        <w:t xml:space="preserve"> 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细胞能识别肿瘤细胞，导入</w:t>
      </w:r>
      <w:r>
        <w:rPr>
          <w:rFonts w:ascii="Times New Roman"/>
          <w:color w:val="000000"/>
          <w:spacing w:val="0"/>
          <w:sz w:val="21"/>
        </w:rPr>
        <w:t xml:space="preserve"> T</w:t>
      </w:r>
    </w:p>
    <w:p w14:paraId="3634E8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细胞的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应能指导合成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随后该合成产物镶嵌在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上。</w:t>
      </w:r>
    </w:p>
    <w:p w14:paraId="1F5E2B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3"/>
          <w:sz w:val="21"/>
        </w:rPr>
        <w:t>）识别患者体内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肿瘤细胞后，</w:t>
      </w:r>
      <w:r>
        <w:rPr>
          <w:rFonts w:ascii="Times New Roman"/>
          <w:color w:val="000000"/>
          <w:spacing w:val="0"/>
          <w:sz w:val="21"/>
        </w:rPr>
        <w:t>CAR-T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细胞受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2"/>
          <w:sz w:val="21"/>
        </w:rPr>
        <w:t>刺激并激活，最终增殖、分化为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将肿瘤细胞</w:t>
      </w:r>
    </w:p>
    <w:p w14:paraId="21A93F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杀灭，该过程属于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免疫。</w:t>
      </w:r>
    </w:p>
    <w:p w14:paraId="494696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细胞输入患者前，要先清除患者体内的淋巴细胞，其目的是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C26741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珊瑚是一类低等动物，可从环境中获取单细胞真核藻类虫黄藻，让其共生于自己细胞内，成为珊瑚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虫</w:t>
      </w:r>
    </w:p>
    <w:p w14:paraId="1BC235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黄藻共生体。共生体的营养来源包括虫黄合成的有机物和摄取的浮游生物。研究人员在实验室研究温度升</w:t>
      </w:r>
    </w:p>
    <w:p w14:paraId="57F64D1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高对某珊瑚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虫黄藻共生体的两种类型（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型和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型）的影响，结果见下图。回答下列问题：</w:t>
      </w:r>
    </w:p>
    <w:p w14:paraId="7E410CCB">
      <w:pPr>
        <w:spacing w:before="3958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）珊瑚细胞获取虫黄藻的方式是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7"/>
          <w:sz w:val="21"/>
        </w:rPr>
        <w:t>（填物质运输方式）；虫黄藻可利用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（填细</w:t>
      </w:r>
    </w:p>
    <w:p w14:paraId="37E2EF57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胞器名称）合成糖类，为珊瑚提供营养。</w:t>
      </w:r>
    </w:p>
    <w:p w14:paraId="14851AA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）当光合呼吸比约等于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型共生体仍能生长，其原因是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FCECA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）常温条件下，在缺少浮游生物的贫瘠海域，更具生存优势的共生体类型是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，理由是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628A27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20"/>
          <w:sz w:val="21"/>
        </w:rPr>
        <w:t>）若升温后</w:t>
      </w:r>
      <w:r>
        <w:rPr>
          <w:rFonts w:ascii="Times New Roman"/>
          <w:color w:val="000000"/>
          <w:spacing w:val="28"/>
          <w:sz w:val="21"/>
        </w:rPr>
        <w:t>B</w:t>
      </w:r>
      <w:r>
        <w:rPr>
          <w:rFonts w:ascii="宋体" w:hAnsi="宋体" w:cs="宋体"/>
          <w:color w:val="000000"/>
          <w:spacing w:val="-5"/>
          <w:sz w:val="21"/>
        </w:rPr>
        <w:t>型共生体的呼吸速率变化不明显，则据图分析</w:t>
      </w:r>
      <w:r>
        <w:rPr>
          <w:rFonts w:ascii="Times New Roman"/>
          <w:color w:val="000000"/>
          <w:spacing w:val="28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型共生体内的单个虫黄藻光合速率将</w:t>
      </w:r>
      <w:r>
        <w:rPr>
          <w:rFonts w:ascii="Times New Roman"/>
          <w:color w:val="000000"/>
          <w:spacing w:val="0"/>
          <w:sz w:val="21"/>
        </w:rPr>
        <w:t>______</w:t>
      </w:r>
    </w:p>
    <w:p w14:paraId="2189F8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，理由是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02D7E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紫茎泽兰原产于美洲，是我国西南地区常见入侵植物，常在入地草本层成为单一优势种，给农林牧业带</w:t>
      </w:r>
    </w:p>
    <w:p w14:paraId="3E35D1B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来经济损失。回答下列问题：</w:t>
      </w:r>
    </w:p>
    <w:p w14:paraId="4B06B6C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）紫茎泽兰入侵后，最终会使生物多样性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5F815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）已知甲、乙和丙皆为本土陆生草本植物，且株高等性状与紫茎泽兰相似。图（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）为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种植物的生态</w:t>
      </w:r>
    </w:p>
    <w:p w14:paraId="7BFB8F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位关系，由此可知紫茎泽兰入侵后对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植物影响最大，原因是：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2"/>
          <w:sz w:val="21"/>
        </w:rPr>
        <w:t>；图（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1"/>
          <w:sz w:val="21"/>
        </w:rPr>
        <w:t>）为上述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种植物的分</w:t>
      </w:r>
    </w:p>
    <w:p w14:paraId="12924869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AF424F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569DA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6828CB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1" o:spid="_x0000_s106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42" o:spid="_x0000_s106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3" o:spid="_x0000_s106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44" o:spid="_x0000_s1070" o:spt="75" type="#_x0000_t75" style="position:absolute;left:0pt;margin-left:53pt;margin-top:94.3pt;height:146.85pt;width:320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45" o:spid="_x0000_s1071" o:spt="75" type="#_x0000_t75" style="position:absolute;left:0pt;margin-left:47pt;margin-top:290.85pt;height:137.1pt;width:284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布区域，其中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种植物分布已注明，若要采集甲和丙植物，最可能分别在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生境采集到。</w:t>
      </w:r>
    </w:p>
    <w:p w14:paraId="6ED58856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）相比原产地，入侵后紫茎泽兰改变了叶片中氮元素的分配模式，具体情况见下表。从种间关系角度分</w:t>
      </w:r>
    </w:p>
    <w:p w14:paraId="3A48E8C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析，入侵地紫茎泽兰减少用于防御的氮含量的原因是：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E8DA009">
      <w:pPr>
        <w:spacing w:before="29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氮元素含量的相关指标（</w:t>
      </w:r>
      <w:r>
        <w:rPr>
          <w:rFonts w:ascii="Times New Roman" w:hAnsi="Times New Roman" w:cs="Times New Roman"/>
          <w:color w:val="000000"/>
          <w:spacing w:val="0"/>
          <w:sz w:val="21"/>
        </w:rPr>
        <w:t>mg·m</w:t>
      </w:r>
      <w:r>
        <w:rPr>
          <w:rFonts w:ascii="Times New Roman"/>
          <w:color w:val="000000"/>
          <w:spacing w:val="0"/>
          <w:sz w:val="23"/>
          <w:vertAlign w:val="superscript"/>
        </w:rPr>
        <w:t>-2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47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原产地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入侵地</w:t>
      </w:r>
    </w:p>
    <w:p w14:paraId="734E58E5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叶片细胞壁中防御化合物的氮含量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116.25</w:t>
      </w:r>
      <w:r>
        <w:rPr>
          <w:rFonts w:ascii="Times New Roman"/>
          <w:color w:val="000000"/>
          <w:spacing w:val="3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44.10</w:t>
      </w:r>
    </w:p>
    <w:p w14:paraId="3DF93FD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叶绿体中的氮含量</w:t>
      </w:r>
      <w:r>
        <w:rPr>
          <w:rFonts w:ascii="Times New Roman"/>
          <w:color w:val="000000"/>
          <w:spacing w:val="19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712.5</w:t>
      </w:r>
      <w:r>
        <w:rPr>
          <w:rFonts w:ascii="Times New Roman"/>
          <w:color w:val="000000"/>
          <w:spacing w:val="4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793.8</w:t>
      </w:r>
    </w:p>
    <w:p w14:paraId="10DE64AF">
      <w:pPr>
        <w:spacing w:before="299" w:after="0" w:line="327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叶片总氮含量</w:t>
      </w:r>
      <w:r>
        <w:rPr>
          <w:rFonts w:ascii="Times New Roman"/>
          <w:color w:val="000000"/>
          <w:spacing w:val="23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1253.00</w:t>
      </w:r>
      <w:r>
        <w:rPr>
          <w:rFonts w:ascii="Times New Roman"/>
          <w:color w:val="000000"/>
          <w:spacing w:val="2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1255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00</w:t>
      </w:r>
    </w:p>
    <w:p w14:paraId="7B3C8AF7">
      <w:pPr>
        <w:spacing w:before="86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）利用农药进行化学防控是控制紫茎泽兰扩散的一种方法，该方法的弊端有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（至少答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35"/>
          <w:sz w:val="21"/>
        </w:rPr>
        <w:t>点）。</w:t>
      </w:r>
    </w:p>
    <w:p w14:paraId="6638E2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21. M </w:t>
      </w:r>
      <w:r>
        <w:rPr>
          <w:rFonts w:ascii="宋体" w:hAnsi="宋体" w:cs="宋体"/>
          <w:color w:val="000000"/>
          <w:spacing w:val="0"/>
          <w:sz w:val="21"/>
        </w:rPr>
        <w:t>蛋白与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记忆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的形成密切相关。科研人员制备了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基因表达可控的实验模型小鼠，主要制作流程见</w:t>
      </w:r>
    </w:p>
    <w:p w14:paraId="611B3D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下图，实验模型小鼠通过特异性表达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Cre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重组酶来敲除两个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LoxP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位点间的序列，同时利用体内表达的蛋白</w:t>
      </w:r>
    </w:p>
    <w:p w14:paraId="764B57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激活诱导型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启动子。利用融合绿色荧光蛋白基因的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基因（</w:t>
      </w:r>
      <w:r>
        <w:rPr>
          <w:rFonts w:ascii="Times New Roman"/>
          <w:color w:val="000000"/>
          <w:spacing w:val="0"/>
          <w:sz w:val="21"/>
        </w:rPr>
        <w:t>M-GFP</w:t>
      </w:r>
      <w:r>
        <w:rPr>
          <w:rFonts w:ascii="宋体" w:hAnsi="宋体" w:cs="宋体"/>
          <w:color w:val="000000"/>
          <w:spacing w:val="-1"/>
          <w:sz w:val="21"/>
        </w:rPr>
        <w:t>）的表达，恢复小鼠自身被敲除的</w:t>
      </w:r>
    </w:p>
    <w:p w14:paraId="0A2977D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基因功能，同时便于示踪。回答下列问题：</w:t>
      </w:r>
    </w:p>
    <w:p w14:paraId="1C787318">
      <w:pPr>
        <w:spacing w:before="41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904861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9DED9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5F60FFA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D3488C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6715332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6" o:spid="_x0000_s1072" o:spt="75" type="#_x0000_t75" style="position:absolute;left:0pt;margin-left:53pt;margin-top:65.05pt;height:407.2pt;width:418.4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30" croptop="3547f" cropright="-601f" o:title=""/>
            <o:lock v:ext="edit" aspectratio="t"/>
          </v:shape>
        </w:pict>
      </w:r>
      <w:r>
        <w:pict>
          <v:shape id="_x000047" o:spid="_x0000_s1073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8" o:spid="_x0000_s107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注：基因型</w:t>
      </w:r>
      <w:r>
        <w:rPr>
          <w:rFonts w:ascii="Times New Roman"/>
          <w:color w:val="000000"/>
          <w:spacing w:val="0"/>
          <w:sz w:val="21"/>
        </w:rPr>
        <w:t xml:space="preserve"> A/+</w:t>
      </w:r>
      <w:r>
        <w:rPr>
          <w:rFonts w:ascii="宋体" w:hAnsi="宋体" w:cs="宋体"/>
          <w:color w:val="000000"/>
          <w:spacing w:val="0"/>
          <w:sz w:val="21"/>
        </w:rPr>
        <w:t>指的是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基因被嵌合在细胞同源染色体中的一条，即可表示为</w:t>
      </w:r>
      <w:r>
        <w:rPr>
          <w:rFonts w:ascii="Times New Roman"/>
          <w:color w:val="000000"/>
          <w:spacing w:val="0"/>
          <w:sz w:val="21"/>
        </w:rPr>
        <w:t xml:space="preserve"> Aa</w:t>
      </w:r>
      <w:r>
        <w:rPr>
          <w:rFonts w:ascii="宋体" w:hAnsi="宋体" w:cs="宋体"/>
          <w:color w:val="000000"/>
          <w:spacing w:val="0"/>
          <w:sz w:val="21"/>
        </w:rPr>
        <w:t>；两端添加上</w:t>
      </w:r>
      <w:r>
        <w:rPr>
          <w:rFonts w:ascii="Times New Roman"/>
          <w:color w:val="000000"/>
          <w:spacing w:val="0"/>
          <w:sz w:val="21"/>
        </w:rPr>
        <w:t xml:space="preserve"> LoxP </w:t>
      </w:r>
      <w:r>
        <w:rPr>
          <w:rFonts w:ascii="宋体" w:hAnsi="宋体" w:cs="宋体"/>
          <w:color w:val="000000"/>
          <w:spacing w:val="0"/>
          <w:sz w:val="21"/>
        </w:rPr>
        <w:t>位点</w:t>
      </w:r>
    </w:p>
    <w:p w14:paraId="58A68F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基因称为</w:t>
      </w:r>
      <w:r>
        <w:rPr>
          <w:rFonts w:ascii="Times New Roman"/>
          <w:color w:val="000000"/>
          <w:spacing w:val="0"/>
          <w:sz w:val="21"/>
        </w:rPr>
        <w:t xml:space="preserve"> floxM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4D2BC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29"/>
          <w:sz w:val="21"/>
        </w:rPr>
        <w:t>）在</w:t>
      </w:r>
      <w:r>
        <w:rPr>
          <w:rFonts w:ascii="Times New Roman"/>
          <w:color w:val="000000"/>
          <w:spacing w:val="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PCR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扩增片段①和②时，通常会在所用引物的一端添加被限制酶识别的序列，该序列添加的位置位</w:t>
      </w:r>
    </w:p>
    <w:p w14:paraId="736DB8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于引物</w:t>
      </w:r>
      <w:r>
        <w:rPr>
          <w:rFonts w:ascii="Times New Roman"/>
          <w:color w:val="000000"/>
          <w:spacing w:val="-3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（选填</w:t>
      </w:r>
      <w:r>
        <w:rPr>
          <w:rFonts w:ascii="Times New Roman" w:hAnsi="Times New Roman" w:cs="Times New Roman"/>
          <w:color w:val="000000"/>
          <w:spacing w:val="0"/>
          <w:sz w:val="21"/>
        </w:rPr>
        <w:t>“3'</w:t>
      </w:r>
      <w:r>
        <w:rPr>
          <w:rFonts w:ascii="宋体" w:hAnsi="宋体" w:cs="宋体"/>
          <w:color w:val="000000"/>
          <w:spacing w:val="0"/>
          <w:sz w:val="21"/>
        </w:rPr>
        <w:t>端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“5'</w:t>
      </w:r>
      <w:r>
        <w:rPr>
          <w:rFonts w:ascii="宋体" w:hAnsi="宋体" w:cs="宋体"/>
          <w:color w:val="000000"/>
          <w:spacing w:val="0"/>
          <w:sz w:val="21"/>
        </w:rPr>
        <w:t>端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17"/>
          <w:sz w:val="21"/>
        </w:rPr>
        <w:t>）。在构建载体</w:t>
      </w:r>
      <w:r>
        <w:rPr>
          <w:rFonts w:ascii="Times New Roman"/>
          <w:color w:val="000000"/>
          <w:spacing w:val="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时，为了阻断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基因的表达，从转录水平考虑，连接的</w:t>
      </w:r>
    </w:p>
    <w:p w14:paraId="552DA1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片段可以是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；而从翻译水平考虑，连接的片段可以是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。为了鉴定载体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是否构建成功，需要</w:t>
      </w:r>
    </w:p>
    <w:p w14:paraId="2D9EBEC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限制酶切割载体后，再进行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D1B91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）培养小鼠胚胎干细胞需定时更换培养液，其目的是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（至少答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26"/>
          <w:sz w:val="21"/>
        </w:rPr>
        <w:t>方面）。</w:t>
      </w:r>
    </w:p>
    <w:p w14:paraId="144DA9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）为了快速高效繁育出含有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对基因（遵循自由组合定律）的实验模型小鼠，应将培育出的基因型</w:t>
      </w:r>
      <w:r>
        <w:rPr>
          <w:rFonts w:ascii="Times New Roman"/>
          <w:color w:val="000000"/>
          <w:spacing w:val="0"/>
          <w:sz w:val="21"/>
        </w:rPr>
        <w:t xml:space="preserve"> Cre/</w:t>
      </w:r>
    </w:p>
    <w:p w14:paraId="29C045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+A/+</w:t>
      </w:r>
      <w:r>
        <w:rPr>
          <w:rFonts w:ascii="宋体" w:hAnsi="宋体" w:cs="宋体"/>
          <w:color w:val="000000"/>
          <w:spacing w:val="0"/>
          <w:sz w:val="21"/>
        </w:rPr>
        <w:t>小鼠和</w:t>
      </w:r>
      <w:r>
        <w:rPr>
          <w:rFonts w:ascii="Times New Roman"/>
          <w:color w:val="000000"/>
          <w:spacing w:val="0"/>
          <w:sz w:val="21"/>
        </w:rPr>
        <w:t xml:space="preserve"> M-GFP/+floxM/+</w:t>
      </w:r>
      <w:r>
        <w:rPr>
          <w:rFonts w:ascii="宋体" w:hAnsi="宋体" w:cs="宋体"/>
          <w:color w:val="000000"/>
          <w:spacing w:val="0"/>
          <w:sz w:val="21"/>
        </w:rPr>
        <w:t>小鼠分别与基因型</w:t>
      </w:r>
      <w:r>
        <w:rPr>
          <w:rFonts w:ascii="Times New Roman"/>
          <w:color w:val="000000"/>
          <w:spacing w:val="0"/>
          <w:sz w:val="21"/>
        </w:rPr>
        <w:t xml:space="preserve"> floxM/floxM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小鼠杂交，杂交获得的子代，再进行一代杂交</w:t>
      </w:r>
    </w:p>
    <w:p w14:paraId="668CCF5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后最终获得基因型为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实验模型小鼠。</w:t>
      </w:r>
    </w:p>
    <w:p w14:paraId="1E01F30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）为了实现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基因的表达可控，在实验模型小鼠喂食时，可添加竞争性结合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蛋白的四环素，抑制</w:t>
      </w:r>
      <w:r>
        <w:rPr>
          <w:rFonts w:ascii="Times New Roman"/>
          <w:color w:val="000000"/>
          <w:spacing w:val="0"/>
          <w:sz w:val="21"/>
        </w:rPr>
        <w:t xml:space="preserve"> T</w:t>
      </w:r>
    </w:p>
    <w:p w14:paraId="66FB776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启动子的活性。添加四环素与未添加相比，目的是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3207045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9557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1004FA24-2339-4D7E-987F-D6294DB7DB09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99BFC325-E571-4244-87A9-3518923A48E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E1C7A08-5129-4434-A09E-E73FFE98EDD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5C1A9A5F-CA7F-48D5-BA87-041F712D89F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A02E1BE9-062B-47AB-8699-24DFF2CF2F6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E9FF7285-F0EC-498D-906F-3F5EC674F2A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A7DF5A2C-2571-4D06-8FF8-575101A3DD3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CC5678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5E93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9926DC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EF840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5FFA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5571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70DC2444"/>
    <w:rsid w:val="763A558C"/>
    <w:rsid w:val="7DBE6329"/>
    <w:rsid w:val="7F185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8"/>
    <customShpInfo spid="_x0000_s1029"/>
    <customShpInfo spid="_x0000_s1030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61"/>
    <customShpInfo spid="_x0000_s1062"/>
    <customShpInfo spid="_x0000_s1063"/>
    <customShpInfo spid="_x0000_s1064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18</Pages>
  <Words>4486</Words>
  <Characters>5052</Characters>
  <Lines>0</Lines>
  <Paragraphs>177</Paragraphs>
  <TotalTime>4</TotalTime>
  <ScaleCrop>false</ScaleCrop>
  <LinksUpToDate>false</LinksUpToDate>
  <CharactersWithSpaces>5409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2025-03-19T14:05:00Z</dcterms:created>
  <dc:creator>Administrator</dc:creator>
  <cp:lastModifiedBy>上帝掷骰子吗</cp:lastModifiedBy>
  <dcterms:modified xsi:type="dcterms:W3CDTF">2026-02-10T06:57:40Z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F41AE0EB8B3B4508B28850921B58A28C_12</vt:lpwstr>
  </property>
</Properties>
</file>