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35F7CA">
      <w:pPr>
        <w:widowControl w:val="0"/>
        <w:spacing w:before="0" w:after="0" w:line="360" w:lineRule="auto"/>
        <w:jc w:val="center"/>
        <w:rPr>
          <w:sz w:val="32"/>
          <w:szCs w:val="32"/>
        </w:rPr>
      </w:pPr>
      <w:r>
        <w:rPr>
          <w:strike w:val="0"/>
          <w:sz w:val="32"/>
          <w:szCs w:val="32"/>
          <w:u w:val="none"/>
        </w:rPr>
        <w:drawing>
          <wp:anchor distT="0" distB="0" distL="114300" distR="114300" simplePos="0" relativeHeight="251659264" behindDoc="0" locked="0" layoutInCell="1" allowOverlap="1">
            <wp:simplePos x="0" y="0"/>
            <wp:positionH relativeFrom="page">
              <wp:posOffset>10604500</wp:posOffset>
            </wp:positionH>
            <wp:positionV relativeFrom="topMargin">
              <wp:posOffset>10236200</wp:posOffset>
            </wp:positionV>
            <wp:extent cx="485775" cy="495300"/>
            <wp:effectExtent l="0" t="0" r="9525"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6"/>
                    <a:stretch>
                      <a:fillRect/>
                    </a:stretch>
                  </pic:blipFill>
                  <pic:spPr>
                    <a:xfrm>
                      <a:off x="0" y="0"/>
                      <a:ext cx="485775" cy="495300"/>
                    </a:xfrm>
                    <a:prstGeom prst="rect">
                      <a:avLst/>
                    </a:prstGeom>
                  </pic:spPr>
                </pic:pic>
              </a:graphicData>
            </a:graphic>
          </wp:anchor>
        </w:drawing>
      </w:r>
      <w:r>
        <w:rPr>
          <w:rFonts w:ascii="宋体" w:hAnsi="宋体" w:eastAsia="宋体" w:cs="宋体"/>
          <w:b/>
          <w:bCs/>
          <w:sz w:val="32"/>
          <w:szCs w:val="32"/>
        </w:rPr>
        <w:t>生物试题</w:t>
      </w:r>
    </w:p>
    <w:p w14:paraId="04ADB1C7">
      <w:pPr>
        <w:widowControl w:val="0"/>
        <w:spacing w:before="0" w:after="0" w:line="360" w:lineRule="auto"/>
      </w:pPr>
      <w:r>
        <w:rPr>
          <w:rFonts w:ascii="宋体" w:hAnsi="宋体" w:eastAsia="宋体" w:cs="宋体"/>
          <w:b/>
          <w:bCs/>
        </w:rPr>
        <w:t>一、单项选择题（本大题共</w:t>
      </w:r>
      <w:r>
        <w:rPr>
          <w:b/>
          <w:bCs/>
        </w:rPr>
        <w:t>20</w:t>
      </w:r>
      <w:r>
        <w:rPr>
          <w:rFonts w:ascii="宋体" w:hAnsi="宋体" w:eastAsia="宋体" w:cs="宋体"/>
          <w:b/>
          <w:bCs/>
        </w:rPr>
        <w:t>小题，每小题</w:t>
      </w:r>
      <w:r>
        <w:rPr>
          <w:b/>
          <w:bCs/>
        </w:rPr>
        <w:t>1</w:t>
      </w:r>
      <w:r>
        <w:rPr>
          <w:rFonts w:ascii="宋体" w:hAnsi="宋体" w:eastAsia="宋体" w:cs="宋体"/>
          <w:b/>
          <w:bCs/>
        </w:rPr>
        <w:t>分，共</w:t>
      </w:r>
      <w:r>
        <w:rPr>
          <w:b/>
          <w:bCs/>
        </w:rPr>
        <w:t>20</w:t>
      </w:r>
      <w:r>
        <w:rPr>
          <w:rFonts w:ascii="宋体" w:hAnsi="宋体" w:eastAsia="宋体" w:cs="宋体"/>
          <w:b/>
          <w:bCs/>
        </w:rPr>
        <w:t>分），在每小题列出的四个备选项中只有一项是最符合题目要求的，请将其代码填涂在答题卡相应位置。错选、多选或未选均不得分。</w:t>
      </w:r>
    </w:p>
    <w:p w14:paraId="004F1F19">
      <w:pPr>
        <w:widowControl w:val="0"/>
        <w:spacing w:before="0" w:after="0" w:line="360" w:lineRule="auto"/>
        <w:rPr>
          <w:sz w:val="21"/>
          <w:szCs w:val="21"/>
        </w:rPr>
      </w:pPr>
      <w:r>
        <w:rPr>
          <w:sz w:val="21"/>
          <w:szCs w:val="21"/>
        </w:rPr>
        <w:t xml:space="preserve">1. </w:t>
      </w:r>
      <w:r>
        <w:rPr>
          <w:rFonts w:ascii="宋体" w:hAnsi="宋体" w:eastAsia="宋体" w:cs="宋体"/>
          <w:sz w:val="21"/>
          <w:szCs w:val="21"/>
        </w:rPr>
        <w:t>草履虫在水中游动时，遇到阻碍会改变方向，避开阻挡物。这体现草履虫具有的生物特征是（</w:t>
      </w:r>
      <w:r>
        <w:rPr>
          <w:sz w:val="21"/>
          <w:szCs w:val="21"/>
        </w:rPr>
        <w:t xml:space="preserve">    </w:t>
      </w:r>
      <w:r>
        <w:rPr>
          <w:rFonts w:ascii="宋体" w:hAnsi="宋体" w:eastAsia="宋体" w:cs="宋体"/>
          <w:sz w:val="21"/>
          <w:szCs w:val="21"/>
        </w:rPr>
        <w:t>）</w:t>
      </w:r>
    </w:p>
    <w:p w14:paraId="7FB8DB37">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能进行呼吸</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能生长和繁殖</w:t>
      </w:r>
    </w:p>
    <w:p w14:paraId="2AEB6D75">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有遗传和变异的特性</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能对外界刺激作出反应</w:t>
      </w:r>
    </w:p>
    <w:p w14:paraId="38262C27">
      <w:pPr>
        <w:widowControl w:val="0"/>
        <w:spacing w:before="0" w:after="0" w:line="360" w:lineRule="auto"/>
        <w:rPr>
          <w:sz w:val="21"/>
          <w:szCs w:val="21"/>
        </w:rPr>
      </w:pPr>
      <w:r>
        <w:rPr>
          <w:sz w:val="21"/>
          <w:szCs w:val="21"/>
        </w:rPr>
        <w:t xml:space="preserve">2. </w:t>
      </w:r>
      <w:r>
        <w:rPr>
          <w:rFonts w:ascii="宋体" w:hAnsi="宋体" w:eastAsia="宋体" w:cs="宋体"/>
          <w:sz w:val="21"/>
          <w:szCs w:val="21"/>
        </w:rPr>
        <w:t>诗句“竹外桃花三两枝，春江水暖鸭先知”中，桃花叶肉细胞具有不同于鸭肌肉细胞的结构是（</w:t>
      </w:r>
      <w:r>
        <w:rPr>
          <w:sz w:val="21"/>
          <w:szCs w:val="21"/>
        </w:rPr>
        <w:t xml:space="preserve">    </w:t>
      </w:r>
      <w:r>
        <w:rPr>
          <w:rFonts w:ascii="宋体" w:hAnsi="宋体" w:eastAsia="宋体" w:cs="宋体"/>
          <w:sz w:val="21"/>
          <w:szCs w:val="21"/>
        </w:rPr>
        <w:t>）</w:t>
      </w:r>
    </w:p>
    <w:p w14:paraId="290AA404">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细胞壁</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细胞膜</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细胞质</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细胞核</w:t>
      </w:r>
    </w:p>
    <w:p w14:paraId="3C5377BF">
      <w:pPr>
        <w:widowControl w:val="0"/>
        <w:spacing w:before="0" w:after="0" w:line="360" w:lineRule="auto"/>
        <w:rPr>
          <w:sz w:val="21"/>
          <w:szCs w:val="21"/>
        </w:rPr>
      </w:pPr>
      <w:r>
        <w:rPr>
          <w:sz w:val="21"/>
          <w:szCs w:val="21"/>
        </w:rPr>
        <w:t xml:space="preserve">3. </w:t>
      </w:r>
      <w:r>
        <w:rPr>
          <w:rFonts w:ascii="宋体" w:hAnsi="宋体" w:eastAsia="宋体" w:cs="宋体"/>
          <w:sz w:val="21"/>
          <w:szCs w:val="21"/>
        </w:rPr>
        <w:t>一科普动画视频中，某器官自述：“我能清除废物、毒物、参与水和无机盐的调节，形成尿液”。你觉得这一器官最可能是（</w:t>
      </w:r>
      <w:r>
        <w:rPr>
          <w:sz w:val="21"/>
          <w:szCs w:val="21"/>
        </w:rPr>
        <w:t xml:space="preserve">    </w:t>
      </w:r>
      <w:r>
        <w:rPr>
          <w:rFonts w:ascii="宋体" w:hAnsi="宋体" w:eastAsia="宋体" w:cs="宋体"/>
          <w:sz w:val="21"/>
          <w:szCs w:val="21"/>
        </w:rPr>
        <w:t>）</w:t>
      </w:r>
    </w:p>
    <w:p w14:paraId="4EBA21D5">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肺</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肾脏</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皮肤</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大肠</w:t>
      </w:r>
    </w:p>
    <w:p w14:paraId="57CEFE5F">
      <w:pPr>
        <w:widowControl w:val="0"/>
        <w:spacing w:before="0" w:after="0" w:line="360" w:lineRule="auto"/>
        <w:rPr>
          <w:sz w:val="21"/>
          <w:szCs w:val="21"/>
        </w:rPr>
      </w:pPr>
      <w:r>
        <w:rPr>
          <w:rFonts w:ascii="宋体" w:hAnsi="宋体" w:eastAsia="宋体" w:cs="宋体"/>
          <w:sz w:val="21"/>
          <w:szCs w:val="21"/>
        </w:rPr>
        <w:t>端午节是我国传统节日，习俗活动丰富多彩，如赛龙舟、吃粽子、系五色绳、挂蒲艾等。这些习俗既饱含人们对爱国诗人屈原的怀念，还蕴藏着对平安健康的追求。请完成下面小题。</w:t>
      </w:r>
    </w:p>
    <w:p w14:paraId="51AC3B45">
      <w:pPr>
        <w:widowControl w:val="0"/>
        <w:spacing w:before="0" w:after="0" w:line="360" w:lineRule="auto"/>
        <w:rPr>
          <w:sz w:val="21"/>
          <w:szCs w:val="21"/>
        </w:rPr>
      </w:pPr>
      <w:r>
        <w:rPr>
          <w:sz w:val="21"/>
          <w:szCs w:val="21"/>
        </w:rPr>
        <w:t xml:space="preserve">4. </w:t>
      </w:r>
      <w:r>
        <w:rPr>
          <w:rFonts w:ascii="宋体" w:hAnsi="宋体" w:eastAsia="宋体" w:cs="宋体"/>
          <w:sz w:val="21"/>
          <w:szCs w:val="21"/>
        </w:rPr>
        <w:t>赛龙舟，运动员奋力划桨时，骨骼肌起的作用是（</w:t>
      </w:r>
      <w:r>
        <w:rPr>
          <w:sz w:val="21"/>
          <w:szCs w:val="21"/>
        </w:rPr>
        <w:t xml:space="preserve">    </w:t>
      </w:r>
      <w:r>
        <w:rPr>
          <w:rFonts w:ascii="宋体" w:hAnsi="宋体" w:eastAsia="宋体" w:cs="宋体"/>
          <w:sz w:val="21"/>
          <w:szCs w:val="21"/>
        </w:rPr>
        <w:t>）</w:t>
      </w:r>
    </w:p>
    <w:p w14:paraId="5670919D">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杠杆（支撑）</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支点（枢纽）</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保护</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动力</w:t>
      </w:r>
    </w:p>
    <w:p w14:paraId="28C29229">
      <w:pPr>
        <w:widowControl w:val="0"/>
        <w:spacing w:before="0" w:after="0" w:line="360" w:lineRule="auto"/>
        <w:rPr>
          <w:sz w:val="21"/>
          <w:szCs w:val="21"/>
        </w:rPr>
      </w:pPr>
      <w:r>
        <w:rPr>
          <w:sz w:val="21"/>
          <w:szCs w:val="21"/>
        </w:rPr>
        <w:t xml:space="preserve">5. </w:t>
      </w:r>
      <w:r>
        <w:rPr>
          <w:rFonts w:ascii="宋体" w:hAnsi="宋体" w:eastAsia="宋体" w:cs="宋体"/>
          <w:sz w:val="21"/>
          <w:szCs w:val="21"/>
        </w:rPr>
        <w:t>吃粽子，粽子的清香被吸入时，膈肌和肺的状态分别是（</w:t>
      </w:r>
      <w:r>
        <w:rPr>
          <w:sz w:val="21"/>
          <w:szCs w:val="21"/>
        </w:rPr>
        <w:t xml:space="preserve">    </w:t>
      </w:r>
      <w:r>
        <w:rPr>
          <w:rFonts w:ascii="宋体" w:hAnsi="宋体" w:eastAsia="宋体" w:cs="宋体"/>
          <w:sz w:val="21"/>
          <w:szCs w:val="21"/>
        </w:rPr>
        <w:t>）</w:t>
      </w:r>
    </w:p>
    <w:p w14:paraId="2BE53970">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收缩、扩张</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收缩、回缩</w:t>
      </w:r>
    </w:p>
    <w:p w14:paraId="2C727A62">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舒张、扩张</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舒张、回缩</w:t>
      </w:r>
    </w:p>
    <w:p w14:paraId="139B9122">
      <w:pPr>
        <w:widowControl w:val="0"/>
        <w:spacing w:before="0" w:after="0" w:line="360" w:lineRule="auto"/>
        <w:rPr>
          <w:sz w:val="21"/>
          <w:szCs w:val="21"/>
        </w:rPr>
      </w:pPr>
      <w:r>
        <w:rPr>
          <w:sz w:val="21"/>
          <w:szCs w:val="21"/>
        </w:rPr>
        <w:t xml:space="preserve">6. </w:t>
      </w:r>
      <w:r>
        <w:rPr>
          <w:rFonts w:ascii="宋体" w:hAnsi="宋体" w:eastAsia="宋体" w:cs="宋体"/>
          <w:sz w:val="21"/>
          <w:szCs w:val="21"/>
        </w:rPr>
        <w:t>下图是某同学制作</w:t>
      </w:r>
      <w:r>
        <w:rPr>
          <w:strike w:val="0"/>
          <w:sz w:val="21"/>
          <w:szCs w:val="21"/>
          <w:u w:val="none"/>
        </w:rPr>
        <w:drawing>
          <wp:inline distT="0" distB="0" distL="114300" distR="114300">
            <wp:extent cx="133350" cy="180975"/>
            <wp:effectExtent l="0" t="0" r="0" b="889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7"/>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细菌模型，其中明显缺失的是（</w:t>
      </w:r>
      <w:r>
        <w:rPr>
          <w:sz w:val="21"/>
          <w:szCs w:val="21"/>
        </w:rPr>
        <w:t xml:space="preserve">    </w:t>
      </w:r>
      <w:r>
        <w:rPr>
          <w:rFonts w:ascii="宋体" w:hAnsi="宋体" w:eastAsia="宋体" w:cs="宋体"/>
          <w:sz w:val="21"/>
          <w:szCs w:val="21"/>
        </w:rPr>
        <w:t>）</w:t>
      </w:r>
    </w:p>
    <w:p w14:paraId="259D203D">
      <w:pPr>
        <w:widowControl w:val="0"/>
        <w:spacing w:before="0" w:after="0" w:line="360" w:lineRule="auto"/>
        <w:rPr>
          <w:sz w:val="21"/>
          <w:szCs w:val="21"/>
        </w:rPr>
      </w:pPr>
      <w:r>
        <w:rPr>
          <w:strike w:val="0"/>
          <w:sz w:val="21"/>
          <w:szCs w:val="21"/>
          <w:u w:val="none"/>
        </w:rPr>
        <w:drawing>
          <wp:inline distT="0" distB="0" distL="114300" distR="114300">
            <wp:extent cx="1581150" cy="14478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581150" cy="1447800"/>
                    </a:xfrm>
                    <a:prstGeom prst="rect">
                      <a:avLst/>
                    </a:prstGeom>
                  </pic:spPr>
                </pic:pic>
              </a:graphicData>
            </a:graphic>
          </wp:inline>
        </w:drawing>
      </w:r>
    </w:p>
    <w:p w14:paraId="38B17C30">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液泡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叶绿体</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细胞核</w:t>
      </w:r>
      <w:r>
        <w:rPr>
          <w:rFonts w:ascii="Times New Roman" w:hAnsi="Times New Roman" w:eastAsia="Times New Roman" w:cs="Times New Roman"/>
          <w:sz w:val="21"/>
          <w:szCs w:val="21"/>
        </w:rPr>
        <w:tab/>
      </w:r>
      <w:r>
        <w:rPr>
          <w:sz w:val="21"/>
          <w:szCs w:val="21"/>
        </w:rPr>
        <w:t>D. DNA</w:t>
      </w:r>
      <w:r>
        <w:rPr>
          <w:rFonts w:ascii="宋体" w:hAnsi="宋体" w:eastAsia="宋体" w:cs="宋体"/>
          <w:sz w:val="21"/>
          <w:szCs w:val="21"/>
        </w:rPr>
        <w:t>（拟核）</w:t>
      </w:r>
    </w:p>
    <w:p w14:paraId="54840647">
      <w:pPr>
        <w:widowControl w:val="0"/>
        <w:spacing w:before="0" w:after="0" w:line="360" w:lineRule="auto"/>
        <w:rPr>
          <w:sz w:val="21"/>
          <w:szCs w:val="21"/>
        </w:rPr>
      </w:pPr>
      <w:r>
        <w:rPr>
          <w:sz w:val="21"/>
          <w:szCs w:val="21"/>
        </w:rPr>
        <w:t xml:space="preserve">7. </w:t>
      </w:r>
      <w:r>
        <w:rPr>
          <w:rFonts w:ascii="宋体" w:hAnsi="宋体" w:eastAsia="宋体" w:cs="宋体"/>
          <w:sz w:val="21"/>
          <w:szCs w:val="21"/>
        </w:rPr>
        <w:t>制作人体口腔上皮细胞临时装片的过程中，能维持细胞正常形态的操作是（</w:t>
      </w:r>
      <w:r>
        <w:rPr>
          <w:sz w:val="21"/>
          <w:szCs w:val="21"/>
        </w:rPr>
        <w:t xml:space="preserve">    </w:t>
      </w:r>
      <w:r>
        <w:rPr>
          <w:rFonts w:ascii="宋体" w:hAnsi="宋体" w:eastAsia="宋体" w:cs="宋体"/>
          <w:sz w:val="21"/>
          <w:szCs w:val="21"/>
        </w:rPr>
        <w:t>）</w:t>
      </w:r>
    </w:p>
    <w:p w14:paraId="44AFEA3B">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滴生理盐水</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刮口腔内壁</w:t>
      </w:r>
    </w:p>
    <w:p w14:paraId="6A9C5C80">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盖盖玻片</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滴加碘液</w:t>
      </w:r>
    </w:p>
    <w:p w14:paraId="4D7B6CDA">
      <w:pPr>
        <w:widowControl w:val="0"/>
        <w:spacing w:before="0" w:after="0" w:line="360" w:lineRule="auto"/>
        <w:rPr>
          <w:sz w:val="21"/>
          <w:szCs w:val="21"/>
        </w:rPr>
      </w:pPr>
      <w:r>
        <w:rPr>
          <w:sz w:val="21"/>
          <w:szCs w:val="21"/>
        </w:rPr>
        <w:t xml:space="preserve">8. </w:t>
      </w:r>
      <w:r>
        <w:rPr>
          <w:rFonts w:ascii="宋体" w:hAnsi="宋体" w:eastAsia="宋体" w:cs="宋体"/>
          <w:sz w:val="21"/>
          <w:szCs w:val="21"/>
        </w:rPr>
        <w:t>人类与传染病的斗争由来已久，我国早在宋朝就有将轻症天花患者脓包中的浆液接种到健康人身体上预</w:t>
      </w:r>
      <w:r>
        <w:rPr>
          <w:strike w:val="0"/>
          <w:sz w:val="21"/>
          <w:szCs w:val="21"/>
          <w:u w:val="none"/>
        </w:rPr>
        <w:drawing>
          <wp:inline distT="0" distB="0" distL="114300" distR="114300">
            <wp:extent cx="28575" cy="28575"/>
            <wp:effectExtent l="0" t="0" r="0" b="0"/>
            <wp:docPr id="100015" name="图片 100015"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page number 0"/>
                    <pic:cNvPicPr>
                      <a:picLocks noChangeAspect="1"/>
                    </pic:cNvPicPr>
                  </pic:nvPicPr>
                  <pic:blipFill>
                    <a:blip r:embed="rId19"/>
                    <a:stretch>
                      <a:fillRect/>
                    </a:stretch>
                  </pic:blipFill>
                  <pic:spPr>
                    <a:xfrm>
                      <a:off x="0" y="0"/>
                      <a:ext cx="28575" cy="28575"/>
                    </a:xfrm>
                    <a:prstGeom prst="rect">
                      <a:avLst/>
                    </a:prstGeom>
                  </pic:spPr>
                </pic:pic>
              </a:graphicData>
            </a:graphic>
          </wp:inline>
        </w:drawing>
      </w:r>
    </w:p>
    <w:p w14:paraId="02159EF4">
      <w:pPr>
        <w:sectPr>
          <w:headerReference r:id="rId5" w:type="first"/>
          <w:footerReference r:id="rId8" w:type="first"/>
          <w:headerReference r:id="rId3" w:type="default"/>
          <w:footerReference r:id="rId6" w:type="default"/>
          <w:headerReference r:id="rId4" w:type="even"/>
          <w:footerReference r:id="rId7" w:type="even"/>
          <w:type w:val="continuous"/>
          <w:pgSz w:w="11927" w:h="16875"/>
          <w:pgMar w:top="800" w:right="1120" w:bottom="540" w:left="1120" w:header="708" w:footer="708" w:gutter="0"/>
          <w:cols w:space="708" w:num="1"/>
          <w:docGrid w:linePitch="360" w:charSpace="0"/>
        </w:sectPr>
      </w:pPr>
    </w:p>
    <w:p w14:paraId="13A295E8">
      <w:pPr>
        <w:widowControl w:val="0"/>
        <w:spacing w:before="0" w:after="0" w:line="360" w:lineRule="auto"/>
        <w:rPr>
          <w:sz w:val="21"/>
          <w:szCs w:val="21"/>
        </w:rPr>
      </w:pPr>
      <w:r>
        <w:rPr>
          <w:rFonts w:ascii="宋体" w:hAnsi="宋体" w:eastAsia="宋体" w:cs="宋体"/>
          <w:sz w:val="21"/>
          <w:szCs w:val="21"/>
        </w:rPr>
        <w:t>防天花的做法。从预防传染病的角度判断，上述做法属于（</w:t>
      </w:r>
      <w:r>
        <w:rPr>
          <w:sz w:val="21"/>
          <w:szCs w:val="21"/>
        </w:rPr>
        <w:t xml:space="preserve">    </w:t>
      </w:r>
      <w:r>
        <w:rPr>
          <w:rFonts w:ascii="宋体" w:hAnsi="宋体" w:eastAsia="宋体" w:cs="宋体"/>
          <w:sz w:val="21"/>
          <w:szCs w:val="21"/>
        </w:rPr>
        <w:t>）</w:t>
      </w:r>
    </w:p>
    <w:p w14:paraId="37483D34">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控制传染源</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切断传播途径</w:t>
      </w:r>
    </w:p>
    <w:p w14:paraId="74BE0225">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w:t>
      </w:r>
      <w:r>
        <w:rPr>
          <w:strike w:val="0"/>
          <w:sz w:val="21"/>
          <w:szCs w:val="21"/>
          <w:u w:val="none"/>
        </w:rPr>
        <w:drawing>
          <wp:inline distT="0" distB="0" distL="114300" distR="114300">
            <wp:extent cx="38100" cy="9525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20"/>
                    <a:stretch>
                      <a:fillRect/>
                    </a:stretch>
                  </pic:blipFill>
                  <pic:spPr>
                    <a:xfrm>
                      <a:off x="0" y="0"/>
                      <a:ext cx="38100" cy="95250"/>
                    </a:xfrm>
                    <a:prstGeom prst="rect">
                      <a:avLst/>
                    </a:prstGeom>
                  </pic:spPr>
                </pic:pic>
              </a:graphicData>
            </a:graphic>
          </wp:inline>
        </w:drawing>
      </w:r>
      <w:r>
        <w:rPr>
          <w:sz w:val="21"/>
          <w:szCs w:val="21"/>
        </w:rPr>
        <w:t xml:space="preserve"> </w:t>
      </w:r>
      <w:r>
        <w:rPr>
          <w:rFonts w:ascii="宋体" w:hAnsi="宋体" w:eastAsia="宋体" w:cs="宋体"/>
          <w:sz w:val="21"/>
          <w:szCs w:val="21"/>
        </w:rPr>
        <w:t>保护易感人群</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清除病原体</w:t>
      </w:r>
    </w:p>
    <w:p w14:paraId="11EE1D52">
      <w:pPr>
        <w:widowControl w:val="0"/>
        <w:spacing w:before="0" w:after="0" w:line="360" w:lineRule="auto"/>
        <w:rPr>
          <w:sz w:val="21"/>
          <w:szCs w:val="21"/>
        </w:rPr>
      </w:pPr>
      <w:r>
        <w:rPr>
          <w:sz w:val="21"/>
          <w:szCs w:val="21"/>
        </w:rPr>
        <w:t xml:space="preserve">9. </w:t>
      </w:r>
      <w:r>
        <w:rPr>
          <w:rFonts w:ascii="宋体" w:hAnsi="宋体" w:eastAsia="宋体" w:cs="宋体"/>
          <w:sz w:val="21"/>
          <w:szCs w:val="21"/>
        </w:rPr>
        <w:t>近期，我国某科考团队正式对外发布，在江西境内发现的短芒复叶耳蕨是一个新物种。该物种叶背部着生的孢子囊集中分布在叶脉中脉附近。据此判断，该物种适合收录在（</w:t>
      </w:r>
      <w:r>
        <w:rPr>
          <w:sz w:val="21"/>
          <w:szCs w:val="21"/>
        </w:rPr>
        <w:t xml:space="preserve">    </w:t>
      </w:r>
      <w:r>
        <w:rPr>
          <w:rFonts w:ascii="宋体" w:hAnsi="宋体" w:eastAsia="宋体" w:cs="宋体"/>
          <w:sz w:val="21"/>
          <w:szCs w:val="21"/>
        </w:rPr>
        <w:t>）</w:t>
      </w:r>
    </w:p>
    <w:p w14:paraId="4CD56A6F">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《藻类学》</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《中国苔藓志》</w:t>
      </w:r>
    </w:p>
    <w:p w14:paraId="7CA2BFBC">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《蕨类植物学》</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《中国裸子植物志》</w:t>
      </w:r>
    </w:p>
    <w:p w14:paraId="3801C9C1">
      <w:pPr>
        <w:widowControl w:val="0"/>
        <w:spacing w:before="0" w:after="0" w:line="360" w:lineRule="auto"/>
        <w:rPr>
          <w:sz w:val="21"/>
          <w:szCs w:val="21"/>
        </w:rPr>
      </w:pPr>
      <w:r>
        <w:rPr>
          <w:sz w:val="21"/>
          <w:szCs w:val="21"/>
        </w:rPr>
        <w:t xml:space="preserve">10. </w:t>
      </w:r>
      <w:r>
        <w:rPr>
          <w:rFonts w:ascii="宋体" w:hAnsi="宋体" w:eastAsia="宋体" w:cs="宋体"/>
          <w:sz w:val="21"/>
          <w:szCs w:val="21"/>
        </w:rPr>
        <w:t>新质生产力本身就是绿色生产力。发展新质生产力需坚定不移走生态优先、绿色发展之路。下列不利于发展新质生产力的是（</w:t>
      </w:r>
      <w:r>
        <w:rPr>
          <w:sz w:val="21"/>
          <w:szCs w:val="21"/>
        </w:rPr>
        <w:t xml:space="preserve">    </w:t>
      </w:r>
      <w:r>
        <w:rPr>
          <w:rFonts w:ascii="宋体" w:hAnsi="宋体" w:eastAsia="宋体" w:cs="宋体"/>
          <w:sz w:val="21"/>
          <w:szCs w:val="21"/>
        </w:rPr>
        <w:t>）</w:t>
      </w:r>
    </w:p>
    <w:p w14:paraId="587FD1B7">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垃圾分类变废为宝</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毁林开荒围湖造田</w:t>
      </w:r>
    </w:p>
    <w:p w14:paraId="00E78D21">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植树造林绿化荒漠</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生态农业减污增产</w:t>
      </w:r>
    </w:p>
    <w:p w14:paraId="2584256A">
      <w:pPr>
        <w:widowControl w:val="0"/>
        <w:spacing w:before="0" w:after="0" w:line="360" w:lineRule="auto"/>
        <w:rPr>
          <w:sz w:val="21"/>
          <w:szCs w:val="21"/>
        </w:rPr>
      </w:pPr>
      <w:r>
        <w:rPr>
          <w:sz w:val="21"/>
          <w:szCs w:val="21"/>
        </w:rPr>
        <w:t xml:space="preserve">11. </w:t>
      </w:r>
      <w:r>
        <w:rPr>
          <w:rFonts w:ascii="宋体" w:hAnsi="宋体" w:eastAsia="宋体" w:cs="宋体"/>
          <w:sz w:val="21"/>
          <w:szCs w:val="21"/>
        </w:rPr>
        <w:t>“小燕子，穿花衣，年年春天来这里”儿歌中的小燕子每年飞回繁殖地产卵，产出的受精鸟卵（下图）能孵化成雏燕的部位是（</w:t>
      </w:r>
      <w:r>
        <w:rPr>
          <w:sz w:val="21"/>
          <w:szCs w:val="21"/>
        </w:rPr>
        <w:t xml:space="preserve">    </w:t>
      </w:r>
      <w:r>
        <w:rPr>
          <w:rFonts w:ascii="宋体" w:hAnsi="宋体" w:eastAsia="宋体" w:cs="宋体"/>
          <w:sz w:val="21"/>
          <w:szCs w:val="21"/>
        </w:rPr>
        <w:t>）</w:t>
      </w:r>
    </w:p>
    <w:p w14:paraId="40821547">
      <w:pPr>
        <w:widowControl w:val="0"/>
        <w:spacing w:before="0" w:after="0" w:line="360" w:lineRule="auto"/>
        <w:rPr>
          <w:sz w:val="21"/>
          <w:szCs w:val="21"/>
        </w:rPr>
      </w:pPr>
      <w:r>
        <w:rPr>
          <w:strike w:val="0"/>
          <w:sz w:val="21"/>
          <w:szCs w:val="21"/>
          <w:u w:val="none"/>
        </w:rPr>
        <w:drawing>
          <wp:inline distT="0" distB="0" distL="114300" distR="114300">
            <wp:extent cx="1104900" cy="69532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104900" cy="695325"/>
                    </a:xfrm>
                    <a:prstGeom prst="rect">
                      <a:avLst/>
                    </a:prstGeom>
                  </pic:spPr>
                </pic:pic>
              </a:graphicData>
            </a:graphic>
          </wp:inline>
        </w:drawing>
      </w:r>
    </w:p>
    <w:p w14:paraId="6513BA00">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②</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④</w:t>
      </w:r>
    </w:p>
    <w:p w14:paraId="398AC032">
      <w:pPr>
        <w:widowControl w:val="0"/>
        <w:spacing w:before="0" w:after="0" w:line="360" w:lineRule="auto"/>
        <w:rPr>
          <w:sz w:val="21"/>
          <w:szCs w:val="21"/>
        </w:rPr>
      </w:pPr>
      <w:r>
        <w:rPr>
          <w:sz w:val="21"/>
          <w:szCs w:val="21"/>
        </w:rPr>
        <w:t xml:space="preserve">12. </w:t>
      </w:r>
      <w:r>
        <w:rPr>
          <w:rFonts w:ascii="宋体" w:hAnsi="宋体" w:eastAsia="宋体" w:cs="宋体"/>
          <w:sz w:val="21"/>
          <w:szCs w:val="21"/>
        </w:rPr>
        <w:t>生物体结构与功能相适应。下列结构与功能对应关系不正确的是（</w:t>
      </w:r>
      <w:r>
        <w:rPr>
          <w:sz w:val="21"/>
          <w:szCs w:val="21"/>
        </w:rPr>
        <w:t xml:space="preserve">    </w:t>
      </w:r>
      <w:r>
        <w:rPr>
          <w:rFonts w:ascii="宋体" w:hAnsi="宋体" w:eastAsia="宋体" w:cs="宋体"/>
          <w:sz w:val="21"/>
          <w:szCs w:val="21"/>
        </w:rPr>
        <w:t>）</w:t>
      </w:r>
    </w:p>
    <w:p w14:paraId="4AFD736C">
      <w:pPr>
        <w:widowControl w:val="0"/>
        <w:spacing w:before="0" w:after="0" w:line="360" w:lineRule="auto"/>
        <w:rPr>
          <w:sz w:val="21"/>
          <w:szCs w:val="21"/>
        </w:rPr>
      </w:pPr>
      <w:r>
        <w:rPr>
          <w:sz w:val="21"/>
          <w:szCs w:val="21"/>
        </w:rPr>
        <w:t xml:space="preserve">A. </w:t>
      </w:r>
      <w:r>
        <w:rPr>
          <w:rFonts w:ascii="宋体" w:hAnsi="宋体" w:eastAsia="宋体" w:cs="宋体"/>
          <w:sz w:val="21"/>
          <w:szCs w:val="21"/>
        </w:rPr>
        <w:t>蚯蚓的刚毛</w:t>
      </w:r>
      <w:r>
        <w:rPr>
          <w:sz w:val="21"/>
          <w:szCs w:val="21"/>
        </w:rPr>
        <w:t>——</w:t>
      </w:r>
      <w:r>
        <w:rPr>
          <w:rFonts w:ascii="宋体" w:hAnsi="宋体" w:eastAsia="宋体" w:cs="宋体"/>
          <w:sz w:val="21"/>
          <w:szCs w:val="21"/>
        </w:rPr>
        <w:t>辅助运动</w:t>
      </w:r>
    </w:p>
    <w:p w14:paraId="616D2171">
      <w:pPr>
        <w:widowControl w:val="0"/>
        <w:spacing w:before="0" w:after="0" w:line="360" w:lineRule="auto"/>
        <w:rPr>
          <w:sz w:val="21"/>
          <w:szCs w:val="21"/>
        </w:rPr>
      </w:pPr>
      <w:r>
        <w:rPr>
          <w:sz w:val="21"/>
          <w:szCs w:val="21"/>
        </w:rPr>
        <w:t xml:space="preserve">B. </w:t>
      </w:r>
      <w:r>
        <w:rPr>
          <w:rFonts w:ascii="宋体" w:hAnsi="宋体" w:eastAsia="宋体" w:cs="宋体"/>
          <w:sz w:val="21"/>
          <w:szCs w:val="21"/>
        </w:rPr>
        <w:t>涡虫的眼点</w:t>
      </w:r>
      <w:r>
        <w:rPr>
          <w:sz w:val="21"/>
          <w:szCs w:val="21"/>
        </w:rPr>
        <w:t>——</w:t>
      </w:r>
      <w:r>
        <w:rPr>
          <w:rFonts w:ascii="宋体" w:hAnsi="宋体" w:eastAsia="宋体" w:cs="宋体"/>
          <w:sz w:val="21"/>
          <w:szCs w:val="21"/>
        </w:rPr>
        <w:t>感受光线</w:t>
      </w:r>
    </w:p>
    <w:p w14:paraId="49ABE6D3">
      <w:pPr>
        <w:widowControl w:val="0"/>
        <w:spacing w:before="0" w:after="0" w:line="360" w:lineRule="auto"/>
        <w:rPr>
          <w:sz w:val="21"/>
          <w:szCs w:val="21"/>
        </w:rPr>
      </w:pPr>
      <w:r>
        <w:rPr>
          <w:sz w:val="21"/>
          <w:szCs w:val="21"/>
        </w:rPr>
        <w:t xml:space="preserve">C. </w:t>
      </w:r>
      <w:r>
        <w:rPr>
          <w:rFonts w:ascii="宋体" w:hAnsi="宋体" w:eastAsia="宋体" w:cs="宋体"/>
          <w:sz w:val="21"/>
          <w:szCs w:val="21"/>
        </w:rPr>
        <w:t>水螅的刺细胞</w:t>
      </w:r>
      <w:r>
        <w:rPr>
          <w:sz w:val="21"/>
          <w:szCs w:val="21"/>
        </w:rPr>
        <w:t>——</w:t>
      </w:r>
      <w:r>
        <w:rPr>
          <w:rFonts w:ascii="宋体" w:hAnsi="宋体" w:eastAsia="宋体" w:cs="宋体"/>
          <w:sz w:val="21"/>
          <w:szCs w:val="21"/>
        </w:rPr>
        <w:t>攻击防御</w:t>
      </w:r>
    </w:p>
    <w:p w14:paraId="619887EF">
      <w:pPr>
        <w:widowControl w:val="0"/>
        <w:spacing w:before="0" w:after="0" w:line="360" w:lineRule="auto"/>
        <w:rPr>
          <w:sz w:val="21"/>
          <w:szCs w:val="21"/>
        </w:rPr>
      </w:pPr>
      <w:r>
        <w:rPr>
          <w:sz w:val="21"/>
          <w:szCs w:val="21"/>
        </w:rPr>
        <w:t xml:space="preserve">D. </w:t>
      </w:r>
      <w:r>
        <w:rPr>
          <w:rFonts w:ascii="宋体" w:hAnsi="宋体" w:eastAsia="宋体" w:cs="宋体"/>
          <w:sz w:val="21"/>
          <w:szCs w:val="21"/>
        </w:rPr>
        <w:t>河蚌的外套膜</w:t>
      </w:r>
      <w:r>
        <w:rPr>
          <w:sz w:val="21"/>
          <w:szCs w:val="21"/>
        </w:rPr>
        <w:t>——</w:t>
      </w:r>
      <w:r>
        <w:rPr>
          <w:rFonts w:ascii="宋体" w:hAnsi="宋体" w:eastAsia="宋体" w:cs="宋体"/>
          <w:sz w:val="21"/>
          <w:szCs w:val="21"/>
        </w:rPr>
        <w:t>气体交换</w:t>
      </w:r>
    </w:p>
    <w:p w14:paraId="0583C8AF">
      <w:pPr>
        <w:widowControl w:val="0"/>
        <w:spacing w:before="0" w:after="0" w:line="360" w:lineRule="auto"/>
        <w:rPr>
          <w:sz w:val="21"/>
          <w:szCs w:val="21"/>
        </w:rPr>
      </w:pPr>
      <w:r>
        <w:rPr>
          <w:sz w:val="21"/>
          <w:szCs w:val="21"/>
        </w:rPr>
        <w:t xml:space="preserve">13. </w:t>
      </w:r>
      <w:r>
        <w:rPr>
          <w:rFonts w:ascii="宋体" w:hAnsi="宋体" w:eastAsia="宋体" w:cs="宋体"/>
          <w:sz w:val="21"/>
          <w:szCs w:val="21"/>
        </w:rPr>
        <w:t>桔小实蝇是一种严重影响我国果蔬产量的外来物种，它的幼虫以果肉为食，生长发育到一定阶段入土化蛹，再羽化成蝇。下列昆虫与其发育方式不同的是（</w:t>
      </w:r>
      <w:r>
        <w:rPr>
          <w:sz w:val="21"/>
          <w:szCs w:val="21"/>
        </w:rPr>
        <w:t xml:space="preserve">    </w:t>
      </w:r>
      <w:r>
        <w:rPr>
          <w:rFonts w:ascii="宋体" w:hAnsi="宋体" w:eastAsia="宋体" w:cs="宋体"/>
          <w:sz w:val="21"/>
          <w:szCs w:val="21"/>
        </w:rPr>
        <w:t>）</w:t>
      </w:r>
    </w:p>
    <w:p w14:paraId="13E5BBB6">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蝗虫</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蝴蝶</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家蚕</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蜜蜂</w:t>
      </w:r>
    </w:p>
    <w:p w14:paraId="551A3B81">
      <w:pPr>
        <w:widowControl w:val="0"/>
        <w:spacing w:before="0" w:after="0" w:line="360" w:lineRule="auto"/>
        <w:rPr>
          <w:sz w:val="21"/>
          <w:szCs w:val="21"/>
        </w:rPr>
      </w:pPr>
      <w:r>
        <w:rPr>
          <w:sz w:val="21"/>
          <w:szCs w:val="21"/>
        </w:rPr>
        <w:t xml:space="preserve">14. </w:t>
      </w:r>
      <w:r>
        <w:rPr>
          <w:rFonts w:ascii="宋体" w:hAnsi="宋体" w:eastAsia="宋体" w:cs="宋体"/>
          <w:sz w:val="21"/>
          <w:szCs w:val="21"/>
        </w:rPr>
        <w:t>剪纸是我国古老的民间艺术之一。下面是同学们在劳技课上以十二生肖为主题创作的剪纸作品，其中的动物不属于哺乳类的是（</w:t>
      </w:r>
      <w:r>
        <w:rPr>
          <w:sz w:val="21"/>
          <w:szCs w:val="21"/>
        </w:rPr>
        <w:t xml:space="preserve">    </w:t>
      </w:r>
      <w:r>
        <w:rPr>
          <w:rFonts w:ascii="宋体" w:hAnsi="宋体" w:eastAsia="宋体" w:cs="宋体"/>
          <w:sz w:val="21"/>
          <w:szCs w:val="21"/>
        </w:rPr>
        <w:t>）</w:t>
      </w:r>
    </w:p>
    <w:p w14:paraId="4F938FFA">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strike w:val="0"/>
          <w:sz w:val="21"/>
          <w:szCs w:val="21"/>
          <w:u w:val="none"/>
        </w:rPr>
        <w:drawing>
          <wp:inline distT="0" distB="0" distL="114300" distR="114300">
            <wp:extent cx="1219200" cy="809625"/>
            <wp:effectExtent l="0" t="0" r="0"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219200" cy="809625"/>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B. </w:t>
      </w:r>
      <w:r>
        <w:rPr>
          <w:strike w:val="0"/>
          <w:sz w:val="21"/>
          <w:szCs w:val="21"/>
          <w:u w:val="none"/>
        </w:rPr>
        <w:drawing>
          <wp:inline distT="0" distB="0" distL="114300" distR="114300">
            <wp:extent cx="942975" cy="685800"/>
            <wp:effectExtent l="0" t="0" r="9525"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942975" cy="685800"/>
                    </a:xfrm>
                    <a:prstGeom prst="rect">
                      <a:avLst/>
                    </a:prstGeom>
                  </pic:spPr>
                </pic:pic>
              </a:graphicData>
            </a:graphic>
          </wp:inline>
        </w:drawing>
      </w:r>
      <w:r>
        <w:rPr>
          <w:strike w:val="0"/>
          <w:sz w:val="21"/>
          <w:szCs w:val="21"/>
          <w:u w:val="none"/>
        </w:rPr>
        <w:drawing>
          <wp:inline distT="0" distB="0" distL="114300" distR="114300">
            <wp:extent cx="28575" cy="28575"/>
            <wp:effectExtent l="0" t="0" r="0" b="0"/>
            <wp:docPr id="100037" name="图片 100037"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page number 1"/>
                    <pic:cNvPicPr>
                      <a:picLocks noChangeAspect="1"/>
                    </pic:cNvPicPr>
                  </pic:nvPicPr>
                  <pic:blipFill>
                    <a:blip r:embed="rId19"/>
                    <a:stretch>
                      <a:fillRect/>
                    </a:stretch>
                  </pic:blipFill>
                  <pic:spPr>
                    <a:xfrm>
                      <a:off x="0" y="0"/>
                      <a:ext cx="28575" cy="28575"/>
                    </a:xfrm>
                    <a:prstGeom prst="rect">
                      <a:avLst/>
                    </a:prstGeom>
                  </pic:spPr>
                </pic:pic>
              </a:graphicData>
            </a:graphic>
          </wp:inline>
        </w:drawing>
      </w:r>
    </w:p>
    <w:p w14:paraId="34746447">
      <w:pPr>
        <w:sectPr>
          <w:headerReference r:id="rId9" w:type="default"/>
          <w:type w:val="continuous"/>
          <w:pgSz w:w="11927" w:h="16875"/>
          <w:pgMar w:top="800" w:right="1120" w:bottom="540" w:left="1120" w:header="708" w:footer="708" w:gutter="0"/>
          <w:cols w:space="708" w:num="1"/>
          <w:docGrid w:linePitch="360" w:charSpace="0"/>
        </w:sectPr>
      </w:pPr>
    </w:p>
    <w:p w14:paraId="3431097F">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strike w:val="0"/>
          <w:sz w:val="21"/>
          <w:szCs w:val="21"/>
          <w:u w:val="none"/>
        </w:rPr>
        <w:drawing>
          <wp:inline distT="0" distB="0" distL="114300" distR="114300">
            <wp:extent cx="1085850" cy="866775"/>
            <wp:effectExtent l="0" t="0" r="0" b="9525"/>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085850" cy="866775"/>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D. </w:t>
      </w:r>
      <w:r>
        <w:rPr>
          <w:strike w:val="0"/>
          <w:sz w:val="21"/>
          <w:szCs w:val="21"/>
          <w:u w:val="none"/>
        </w:rPr>
        <w:drawing>
          <wp:inline distT="0" distB="0" distL="114300" distR="114300">
            <wp:extent cx="876300" cy="781050"/>
            <wp:effectExtent l="0" t="0" r="0" b="0"/>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876300" cy="781050"/>
                    </a:xfrm>
                    <a:prstGeom prst="rect">
                      <a:avLst/>
                    </a:prstGeom>
                  </pic:spPr>
                </pic:pic>
              </a:graphicData>
            </a:graphic>
          </wp:inline>
        </w:drawing>
      </w:r>
    </w:p>
    <w:p w14:paraId="3E563AD7">
      <w:pPr>
        <w:widowControl w:val="0"/>
        <w:spacing w:before="0" w:after="0" w:line="360" w:lineRule="auto"/>
        <w:rPr>
          <w:sz w:val="21"/>
          <w:szCs w:val="21"/>
        </w:rPr>
      </w:pPr>
      <w:r>
        <w:rPr>
          <w:sz w:val="21"/>
          <w:szCs w:val="21"/>
        </w:rPr>
        <w:t xml:space="preserve">15. </w:t>
      </w:r>
      <w:r>
        <w:rPr>
          <w:rFonts w:ascii="宋体" w:hAnsi="宋体" w:eastAsia="宋体" w:cs="宋体"/>
          <w:sz w:val="21"/>
          <w:szCs w:val="21"/>
        </w:rPr>
        <w:t>虹膜通过改变瞳孔大小控制进入眼球内光线的强弱。下列显微镜操作中，能起类似作用的是（</w:t>
      </w:r>
      <w:r>
        <w:rPr>
          <w:sz w:val="21"/>
          <w:szCs w:val="21"/>
        </w:rPr>
        <w:t xml:space="preserve">    </w:t>
      </w:r>
      <w:r>
        <w:rPr>
          <w:rFonts w:ascii="宋体" w:hAnsi="宋体" w:eastAsia="宋体" w:cs="宋体"/>
          <w:sz w:val="21"/>
          <w:szCs w:val="21"/>
        </w:rPr>
        <w:t>）</w:t>
      </w:r>
    </w:p>
    <w:p w14:paraId="092D4BA2">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旋转目镜</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移动玻片</w:t>
      </w:r>
    </w:p>
    <w:p w14:paraId="5E5D58DD">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调遮光器</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升降镜筒</w:t>
      </w:r>
    </w:p>
    <w:p w14:paraId="12D40B96">
      <w:pPr>
        <w:widowControl w:val="0"/>
        <w:spacing w:before="0" w:after="0" w:line="360" w:lineRule="auto"/>
        <w:rPr>
          <w:sz w:val="21"/>
          <w:szCs w:val="21"/>
        </w:rPr>
      </w:pPr>
      <w:r>
        <w:rPr>
          <w:sz w:val="21"/>
          <w:szCs w:val="21"/>
        </w:rPr>
        <w:t xml:space="preserve">16. </w:t>
      </w:r>
      <w:r>
        <w:rPr>
          <w:rFonts w:ascii="宋体" w:hAnsi="宋体" w:eastAsia="宋体" w:cs="宋体"/>
          <w:sz w:val="21"/>
          <w:szCs w:val="21"/>
        </w:rPr>
        <w:t>某同学发现父母都能卷舌，自己却不能。经学习得知，能卷舌和不能卷舌是由一对基因（</w:t>
      </w:r>
      <w:r>
        <w:rPr>
          <w:sz w:val="21"/>
          <w:szCs w:val="21"/>
        </w:rPr>
        <w:t>H</w:t>
      </w:r>
      <w:r>
        <w:rPr>
          <w:rFonts w:ascii="宋体" w:hAnsi="宋体" w:eastAsia="宋体" w:cs="宋体"/>
          <w:sz w:val="21"/>
          <w:szCs w:val="21"/>
        </w:rPr>
        <w:t>和</w:t>
      </w:r>
      <w:r>
        <w:rPr>
          <w:sz w:val="21"/>
          <w:szCs w:val="21"/>
        </w:rPr>
        <w:t>h</w:t>
      </w:r>
      <w:r>
        <w:rPr>
          <w:rFonts w:ascii="宋体" w:hAnsi="宋体" w:eastAsia="宋体" w:cs="宋体"/>
          <w:sz w:val="21"/>
          <w:szCs w:val="21"/>
        </w:rPr>
        <w:t>）控制的相对性状。据此推测，她和她母亲的基因组成分别是（</w:t>
      </w:r>
      <w:r>
        <w:rPr>
          <w:sz w:val="21"/>
          <w:szCs w:val="21"/>
        </w:rPr>
        <w:t xml:space="preserve">    </w:t>
      </w:r>
      <w:r>
        <w:rPr>
          <w:rFonts w:ascii="宋体" w:hAnsi="宋体" w:eastAsia="宋体" w:cs="宋体"/>
          <w:sz w:val="21"/>
          <w:szCs w:val="21"/>
        </w:rPr>
        <w:t>）</w:t>
      </w:r>
    </w:p>
    <w:p w14:paraId="2A59D661">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hh</w:t>
      </w:r>
      <w:r>
        <w:rPr>
          <w:rFonts w:ascii="宋体" w:hAnsi="宋体" w:eastAsia="宋体" w:cs="宋体"/>
          <w:sz w:val="21"/>
          <w:szCs w:val="21"/>
        </w:rPr>
        <w:t>、</w:t>
      </w:r>
      <w:r>
        <w:rPr>
          <w:sz w:val="21"/>
          <w:szCs w:val="21"/>
        </w:rPr>
        <w:t>HH</w:t>
      </w:r>
      <w:r>
        <w:rPr>
          <w:rFonts w:ascii="Times New Roman" w:hAnsi="Times New Roman" w:eastAsia="Times New Roman" w:cs="Times New Roman"/>
          <w:sz w:val="21"/>
          <w:szCs w:val="21"/>
        </w:rPr>
        <w:tab/>
      </w:r>
      <w:r>
        <w:rPr>
          <w:sz w:val="21"/>
          <w:szCs w:val="21"/>
        </w:rPr>
        <w:t>B. hh</w:t>
      </w:r>
      <w:r>
        <w:rPr>
          <w:rFonts w:ascii="宋体" w:hAnsi="宋体" w:eastAsia="宋体" w:cs="宋体"/>
          <w:sz w:val="21"/>
          <w:szCs w:val="21"/>
        </w:rPr>
        <w:t>、</w:t>
      </w:r>
      <w:r>
        <w:rPr>
          <w:sz w:val="21"/>
          <w:szCs w:val="21"/>
        </w:rPr>
        <w:t>Hh</w:t>
      </w:r>
    </w:p>
    <w:p w14:paraId="3BBE96AD">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HH</w:t>
      </w:r>
      <w:r>
        <w:rPr>
          <w:rFonts w:ascii="宋体" w:hAnsi="宋体" w:eastAsia="宋体" w:cs="宋体"/>
          <w:sz w:val="21"/>
          <w:szCs w:val="21"/>
        </w:rPr>
        <w:t>、</w:t>
      </w:r>
      <w:r>
        <w:rPr>
          <w:sz w:val="21"/>
          <w:szCs w:val="21"/>
        </w:rPr>
        <w:t>hh</w:t>
      </w:r>
      <w:r>
        <w:rPr>
          <w:rFonts w:ascii="Times New Roman" w:hAnsi="Times New Roman" w:eastAsia="Times New Roman" w:cs="Times New Roman"/>
          <w:sz w:val="21"/>
          <w:szCs w:val="21"/>
        </w:rPr>
        <w:tab/>
      </w:r>
      <w:r>
        <w:rPr>
          <w:sz w:val="21"/>
          <w:szCs w:val="21"/>
        </w:rPr>
        <w:t>D. Hh</w:t>
      </w:r>
      <w:r>
        <w:rPr>
          <w:rFonts w:ascii="宋体" w:hAnsi="宋体" w:eastAsia="宋体" w:cs="宋体"/>
          <w:sz w:val="21"/>
          <w:szCs w:val="21"/>
        </w:rPr>
        <w:t>、</w:t>
      </w:r>
      <w:r>
        <w:rPr>
          <w:sz w:val="21"/>
          <w:szCs w:val="21"/>
        </w:rPr>
        <w:t>hh</w:t>
      </w:r>
    </w:p>
    <w:p w14:paraId="2D28F208">
      <w:pPr>
        <w:widowControl w:val="0"/>
        <w:spacing w:before="0" w:after="0" w:line="360" w:lineRule="auto"/>
        <w:rPr>
          <w:sz w:val="21"/>
          <w:szCs w:val="21"/>
        </w:rPr>
      </w:pPr>
      <w:r>
        <w:rPr>
          <w:sz w:val="21"/>
          <w:szCs w:val="21"/>
        </w:rPr>
        <w:t xml:space="preserve">17. </w:t>
      </w:r>
      <w:r>
        <w:rPr>
          <w:rFonts w:ascii="宋体" w:hAnsi="宋体" w:eastAsia="宋体" w:cs="宋体"/>
          <w:sz w:val="21"/>
          <w:szCs w:val="21"/>
        </w:rPr>
        <w:t>人工种子是一种人工制造的代替自然种子的颗粒体，其结构（下图）与自然种子相似，具有种子的功能。图中能发育成新植株的是（</w:t>
      </w:r>
      <w:r>
        <w:rPr>
          <w:sz w:val="21"/>
          <w:szCs w:val="21"/>
        </w:rPr>
        <w:t xml:space="preserve">    </w:t>
      </w:r>
      <w:r>
        <w:rPr>
          <w:rFonts w:ascii="宋体" w:hAnsi="宋体" w:eastAsia="宋体" w:cs="宋体"/>
          <w:sz w:val="21"/>
          <w:szCs w:val="21"/>
        </w:rPr>
        <w:t>）</w:t>
      </w:r>
    </w:p>
    <w:p w14:paraId="227545B6">
      <w:pPr>
        <w:widowControl w:val="0"/>
        <w:spacing w:before="0" w:after="0" w:line="360" w:lineRule="auto"/>
        <w:rPr>
          <w:sz w:val="21"/>
          <w:szCs w:val="21"/>
        </w:rPr>
      </w:pPr>
      <w:r>
        <w:rPr>
          <w:strike w:val="0"/>
          <w:sz w:val="21"/>
          <w:szCs w:val="21"/>
          <w:u w:val="none"/>
        </w:rPr>
        <w:drawing>
          <wp:inline distT="0" distB="0" distL="114300" distR="114300">
            <wp:extent cx="2314575" cy="1371600"/>
            <wp:effectExtent l="0" t="0" r="9525" b="0"/>
            <wp:docPr id="100055" name="图片 1000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314575" cy="1371600"/>
                    </a:xfrm>
                    <a:prstGeom prst="rect">
                      <a:avLst/>
                    </a:prstGeom>
                  </pic:spPr>
                </pic:pic>
              </a:graphicData>
            </a:graphic>
          </wp:inline>
        </w:drawing>
      </w:r>
    </w:p>
    <w:p w14:paraId="6F4C6AA2">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外部薄膜</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褐藻酸明胶</w:t>
      </w:r>
    </w:p>
    <w:p w14:paraId="08F74920">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营养物质</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胚状体</w:t>
      </w:r>
    </w:p>
    <w:p w14:paraId="4D37F71F">
      <w:pPr>
        <w:widowControl w:val="0"/>
        <w:spacing w:before="0" w:after="0" w:line="360" w:lineRule="auto"/>
        <w:rPr>
          <w:sz w:val="21"/>
          <w:szCs w:val="21"/>
        </w:rPr>
      </w:pPr>
      <w:r>
        <w:rPr>
          <w:sz w:val="21"/>
          <w:szCs w:val="21"/>
        </w:rPr>
        <w:t xml:space="preserve">18. </w:t>
      </w:r>
      <w:r>
        <w:rPr>
          <w:rFonts w:ascii="宋体" w:hAnsi="宋体" w:eastAsia="宋体" w:cs="宋体"/>
          <w:sz w:val="21"/>
          <w:szCs w:val="21"/>
        </w:rPr>
        <w:t>江西米粉火热出圈，米粉与下列食物搭配，营养更合理的是（</w:t>
      </w:r>
      <w:r>
        <w:rPr>
          <w:sz w:val="21"/>
          <w:szCs w:val="21"/>
        </w:rPr>
        <w:t xml:space="preserve">    </w:t>
      </w:r>
      <w:r>
        <w:rPr>
          <w:rFonts w:ascii="宋体" w:hAnsi="宋体" w:eastAsia="宋体" w:cs="宋体"/>
          <w:sz w:val="21"/>
          <w:szCs w:val="21"/>
        </w:rPr>
        <w:t>）</w:t>
      </w:r>
    </w:p>
    <w:p w14:paraId="54A1E227">
      <w:pPr>
        <w:widowControl w:val="0"/>
        <w:spacing w:before="0" w:after="0" w:line="360" w:lineRule="auto"/>
        <w:rPr>
          <w:sz w:val="21"/>
          <w:szCs w:val="21"/>
        </w:rPr>
      </w:pPr>
      <w:r>
        <w:rPr>
          <w:rFonts w:ascii="宋体" w:hAnsi="宋体" w:eastAsia="宋体" w:cs="宋体"/>
          <w:sz w:val="21"/>
          <w:szCs w:val="21"/>
        </w:rPr>
        <w:t>①青菜</w:t>
      </w:r>
      <w:r>
        <w:rPr>
          <w:sz w:val="21"/>
          <w:szCs w:val="21"/>
        </w:rPr>
        <w:t xml:space="preserve">  </w:t>
      </w:r>
      <w:r>
        <w:rPr>
          <w:rFonts w:ascii="宋体" w:hAnsi="宋体" w:eastAsia="宋体" w:cs="宋体"/>
          <w:sz w:val="21"/>
          <w:szCs w:val="21"/>
        </w:rPr>
        <w:t>②牛肉</w:t>
      </w:r>
      <w:r>
        <w:rPr>
          <w:sz w:val="21"/>
          <w:szCs w:val="21"/>
        </w:rPr>
        <w:t xml:space="preserve">  </w:t>
      </w:r>
      <w:r>
        <w:rPr>
          <w:rFonts w:ascii="宋体" w:hAnsi="宋体" w:eastAsia="宋体" w:cs="宋体"/>
          <w:sz w:val="21"/>
          <w:szCs w:val="21"/>
        </w:rPr>
        <w:t>③豆浆</w:t>
      </w:r>
      <w:r>
        <w:rPr>
          <w:sz w:val="21"/>
          <w:szCs w:val="21"/>
        </w:rPr>
        <w:t xml:space="preserve">  </w:t>
      </w:r>
      <w:r>
        <w:rPr>
          <w:rFonts w:ascii="宋体" w:hAnsi="宋体" w:eastAsia="宋体" w:cs="宋体"/>
          <w:sz w:val="21"/>
          <w:szCs w:val="21"/>
        </w:rPr>
        <w:t>④碳酸饮料</w:t>
      </w:r>
    </w:p>
    <w:p w14:paraId="7462561E">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w:t>
      </w:r>
      <w:r>
        <w:rPr>
          <w:strike w:val="0"/>
          <w:sz w:val="21"/>
          <w:szCs w:val="21"/>
          <w:u w:val="none"/>
        </w:rPr>
        <w:drawing>
          <wp:inline distT="0" distB="0" distL="114300" distR="114300">
            <wp:extent cx="38100" cy="95250"/>
            <wp:effectExtent l="0" t="0" r="0" b="0"/>
            <wp:docPr id="100057" name="图片 100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pic:cNvPicPr>
                      <a:picLocks noChangeAspect="1"/>
                    </pic:cNvPicPr>
                  </pic:nvPicPr>
                  <pic:blipFill>
                    <a:blip r:embed="rId20"/>
                    <a:stretch>
                      <a:fillRect/>
                    </a:stretch>
                  </pic:blipFill>
                  <pic:spPr>
                    <a:xfrm>
                      <a:off x="0" y="0"/>
                      <a:ext cx="38100" cy="95250"/>
                    </a:xfrm>
                    <a:prstGeom prst="rect">
                      <a:avLst/>
                    </a:prstGeom>
                  </pic:spPr>
                </pic:pic>
              </a:graphicData>
            </a:graphic>
          </wp:inline>
        </w:drawing>
      </w:r>
      <w:r>
        <w:rPr>
          <w:sz w:val="21"/>
          <w:szCs w:val="21"/>
        </w:rPr>
        <w:t xml:space="preserve">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①②③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①②④</w:t>
      </w:r>
    </w:p>
    <w:p w14:paraId="7DDDA9B9">
      <w:pPr>
        <w:widowControl w:val="0"/>
        <w:spacing w:before="0" w:after="0" w:line="360" w:lineRule="auto"/>
        <w:rPr>
          <w:sz w:val="21"/>
          <w:szCs w:val="21"/>
        </w:rPr>
      </w:pPr>
      <w:r>
        <w:rPr>
          <w:sz w:val="21"/>
          <w:szCs w:val="21"/>
        </w:rPr>
        <w:t xml:space="preserve">19. </w:t>
      </w:r>
      <w:r>
        <w:rPr>
          <w:rFonts w:ascii="宋体" w:hAnsi="宋体" w:eastAsia="宋体" w:cs="宋体"/>
          <w:sz w:val="21"/>
          <w:szCs w:val="21"/>
        </w:rPr>
        <w:t>《落花生》一文中描述了落花生的特点</w:t>
      </w:r>
      <w:r>
        <w:rPr>
          <w:sz w:val="21"/>
          <w:szCs w:val="21"/>
        </w:rPr>
        <w:t>——</w:t>
      </w:r>
      <w:r>
        <w:rPr>
          <w:rFonts w:ascii="宋体" w:hAnsi="宋体" w:eastAsia="宋体" w:cs="宋体"/>
          <w:sz w:val="21"/>
          <w:szCs w:val="21"/>
        </w:rPr>
        <w:t>地上开花、入地结荚。“荚”是落花生的茧状果实，下列结构能发育成“荚”的是（</w:t>
      </w:r>
      <w:r>
        <w:rPr>
          <w:sz w:val="21"/>
          <w:szCs w:val="21"/>
        </w:rPr>
        <w:t xml:space="preserve">    </w:t>
      </w:r>
      <w:r>
        <w:rPr>
          <w:rFonts w:ascii="宋体" w:hAnsi="宋体" w:eastAsia="宋体" w:cs="宋体"/>
          <w:sz w:val="21"/>
          <w:szCs w:val="21"/>
        </w:rPr>
        <w:t>）</w:t>
      </w:r>
    </w:p>
    <w:p w14:paraId="35631E86">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子房</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胚珠</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子房壁</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受精卵</w:t>
      </w:r>
    </w:p>
    <w:p w14:paraId="6E99867E">
      <w:pPr>
        <w:widowControl w:val="0"/>
        <w:spacing w:before="0" w:after="0" w:line="360" w:lineRule="auto"/>
        <w:rPr>
          <w:sz w:val="21"/>
          <w:szCs w:val="21"/>
        </w:rPr>
      </w:pPr>
      <w:r>
        <w:rPr>
          <w:sz w:val="21"/>
          <w:szCs w:val="21"/>
        </w:rPr>
        <w:t xml:space="preserve">20. </w:t>
      </w:r>
      <w:r>
        <w:rPr>
          <w:rFonts w:ascii="宋体" w:hAnsi="宋体" w:eastAsia="宋体" w:cs="宋体"/>
          <w:sz w:val="21"/>
          <w:szCs w:val="21"/>
        </w:rPr>
        <w:t>在特定</w:t>
      </w:r>
      <w:r>
        <w:rPr>
          <w:strike w:val="0"/>
          <w:sz w:val="21"/>
          <w:szCs w:val="21"/>
          <w:u w:val="none"/>
        </w:rPr>
        <w:drawing>
          <wp:inline distT="0" distB="0" distL="114300" distR="114300">
            <wp:extent cx="133350" cy="180975"/>
            <wp:effectExtent l="0" t="0" r="0" b="8890"/>
            <wp:docPr id="100059" name="图片 100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pic:cNvPicPr>
                      <a:picLocks noChangeAspect="1"/>
                    </pic:cNvPicPr>
                  </pic:nvPicPr>
                  <pic:blipFill>
                    <a:blip r:embed="rId17"/>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情况下，一些急救方法能减少伤害或挽救生命。下列不属于急救方法的是（</w:t>
      </w:r>
      <w:r>
        <w:rPr>
          <w:sz w:val="21"/>
          <w:szCs w:val="21"/>
        </w:rPr>
        <w:t xml:space="preserve">    </w:t>
      </w:r>
      <w:r>
        <w:rPr>
          <w:rFonts w:ascii="宋体" w:hAnsi="宋体" w:eastAsia="宋体" w:cs="宋体"/>
          <w:sz w:val="21"/>
          <w:szCs w:val="21"/>
        </w:rPr>
        <w:t>）</w:t>
      </w:r>
    </w:p>
    <w:p w14:paraId="6BA9A4AC">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人工呼吸</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心肺复苏</w:t>
      </w:r>
    </w:p>
    <w:p w14:paraId="001AF394">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止血包扎</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定期体检</w:t>
      </w:r>
    </w:p>
    <w:p w14:paraId="4418288C">
      <w:pPr>
        <w:widowControl w:val="0"/>
        <w:spacing w:before="0" w:after="0" w:line="360" w:lineRule="auto"/>
      </w:pPr>
      <w:r>
        <w:rPr>
          <w:rFonts w:ascii="宋体" w:hAnsi="宋体" w:eastAsia="宋体" w:cs="宋体"/>
          <w:b/>
          <w:bCs/>
        </w:rPr>
        <w:t>二、综合题（本大题共</w:t>
      </w:r>
      <w:r>
        <w:rPr>
          <w:b/>
          <w:bCs/>
        </w:rPr>
        <w:t>5</w:t>
      </w:r>
      <w:r>
        <w:rPr>
          <w:rFonts w:ascii="宋体" w:hAnsi="宋体" w:eastAsia="宋体" w:cs="宋体"/>
          <w:b/>
          <w:bCs/>
        </w:rPr>
        <w:t>小题，每空</w:t>
      </w:r>
      <w:r>
        <w:rPr>
          <w:b/>
          <w:bCs/>
        </w:rPr>
        <w:t>1</w:t>
      </w:r>
      <w:r>
        <w:rPr>
          <w:rFonts w:ascii="宋体" w:hAnsi="宋体" w:eastAsia="宋体" w:cs="宋体"/>
          <w:b/>
          <w:bCs/>
        </w:rPr>
        <w:t>分，共</w:t>
      </w:r>
      <w:r>
        <w:rPr>
          <w:b/>
          <w:bCs/>
        </w:rPr>
        <w:t>30</w:t>
      </w:r>
      <w:r>
        <w:rPr>
          <w:rFonts w:ascii="宋体" w:hAnsi="宋体" w:eastAsia="宋体" w:cs="宋体"/>
          <w:b/>
          <w:bCs/>
        </w:rPr>
        <w:t>分）</w:t>
      </w:r>
    </w:p>
    <w:p w14:paraId="4D322930">
      <w:pPr>
        <w:widowControl w:val="0"/>
        <w:spacing w:before="0" w:after="0" w:line="360" w:lineRule="auto"/>
        <w:rPr>
          <w:sz w:val="21"/>
          <w:szCs w:val="21"/>
        </w:rPr>
      </w:pPr>
      <w:r>
        <w:rPr>
          <w:sz w:val="21"/>
          <w:szCs w:val="21"/>
        </w:rPr>
        <w:t xml:space="preserve">21. </w:t>
      </w:r>
      <w:r>
        <w:rPr>
          <w:rFonts w:ascii="宋体" w:hAnsi="宋体" w:eastAsia="宋体" w:cs="宋体"/>
          <w:sz w:val="21"/>
          <w:szCs w:val="21"/>
        </w:rPr>
        <w:t>阅读下列材料，回答相关问题。</w:t>
      </w:r>
      <w:r>
        <w:rPr>
          <w:strike w:val="0"/>
          <w:sz w:val="21"/>
          <w:szCs w:val="21"/>
          <w:u w:val="none"/>
        </w:rPr>
        <w:drawing>
          <wp:inline distT="0" distB="0" distL="114300" distR="114300">
            <wp:extent cx="28575" cy="28575"/>
            <wp:effectExtent l="0" t="0" r="0" b="0"/>
            <wp:docPr id="100061" name="图片 100061"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descr="page number 2"/>
                    <pic:cNvPicPr>
                      <a:picLocks noChangeAspect="1"/>
                    </pic:cNvPicPr>
                  </pic:nvPicPr>
                  <pic:blipFill>
                    <a:blip r:embed="rId19"/>
                    <a:stretch>
                      <a:fillRect/>
                    </a:stretch>
                  </pic:blipFill>
                  <pic:spPr>
                    <a:xfrm>
                      <a:off x="0" y="0"/>
                      <a:ext cx="28575" cy="28575"/>
                    </a:xfrm>
                    <a:prstGeom prst="rect">
                      <a:avLst/>
                    </a:prstGeom>
                  </pic:spPr>
                </pic:pic>
              </a:graphicData>
            </a:graphic>
          </wp:inline>
        </w:drawing>
      </w:r>
    </w:p>
    <w:p w14:paraId="16288AD1">
      <w:pPr>
        <w:sectPr>
          <w:headerReference r:id="rId10" w:type="default"/>
          <w:type w:val="continuous"/>
          <w:pgSz w:w="11927" w:h="16875"/>
          <w:pgMar w:top="800" w:right="1120" w:bottom="540" w:left="1120" w:header="708" w:footer="708" w:gutter="0"/>
          <w:cols w:space="708" w:num="1"/>
          <w:docGrid w:linePitch="360" w:charSpace="0"/>
        </w:sectPr>
      </w:pPr>
    </w:p>
    <w:p w14:paraId="1C15D064">
      <w:pPr>
        <w:widowControl w:val="0"/>
        <w:spacing w:before="0" w:after="0" w:line="360" w:lineRule="auto"/>
        <w:rPr>
          <w:sz w:val="21"/>
          <w:szCs w:val="21"/>
        </w:rPr>
      </w:pPr>
      <w:r>
        <w:rPr>
          <w:rFonts w:ascii="宋体" w:hAnsi="宋体" w:eastAsia="宋体" w:cs="宋体"/>
          <w:sz w:val="21"/>
          <w:szCs w:val="21"/>
        </w:rPr>
        <w:t>二十四节气是我国古人通过观察太阳周年运动，认知一年时令、气候、物候的规律及变化所形成的知识体系及应用模式。</w:t>
      </w:r>
    </w:p>
    <w:p w14:paraId="540BB280">
      <w:pPr>
        <w:widowControl w:val="0"/>
        <w:spacing w:before="0" w:after="0" w:line="360" w:lineRule="auto"/>
        <w:rPr>
          <w:sz w:val="21"/>
          <w:szCs w:val="21"/>
        </w:rPr>
      </w:pPr>
      <w:r>
        <w:rPr>
          <w:rFonts w:ascii="宋体" w:hAnsi="宋体" w:eastAsia="宋体" w:cs="宋体"/>
          <w:sz w:val="21"/>
          <w:szCs w:val="21"/>
        </w:rPr>
        <w:t>夏至，是二十四节气中</w:t>
      </w:r>
      <w:r>
        <w:rPr>
          <w:strike w:val="0"/>
          <w:sz w:val="21"/>
          <w:szCs w:val="21"/>
          <w:u w:val="none"/>
        </w:rPr>
        <w:drawing>
          <wp:inline distT="0" distB="0" distL="114300" distR="114300">
            <wp:extent cx="133350" cy="180975"/>
            <wp:effectExtent l="0" t="0" r="0" b="8890"/>
            <wp:docPr id="100075" name="图片 100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 name="图片 100075"/>
                    <pic:cNvPicPr>
                      <a:picLocks noChangeAspect="1"/>
                    </pic:cNvPicPr>
                  </pic:nvPicPr>
                  <pic:blipFill>
                    <a:blip r:embed="rId17"/>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第十个节气，表示炎热的夏天已经到来。此时，气温继续升高，降水量持续增多，荔枝、西红柿等时令水果蔬菜轮番登场，杂草、病虫也在滋长蔓延。农业生产上应及时去除杂草，合理防治病虫害。夏至有三候，一候鹿角解，成年雄鹿的鹿角会周期性地在春季新生，夏至脱落；</w:t>
      </w:r>
      <w:r>
        <w:rPr>
          <w:rFonts w:ascii="宋体" w:hAnsi="宋体" w:eastAsia="宋体" w:cs="宋体"/>
          <w:sz w:val="21"/>
          <w:szCs w:val="21"/>
          <w:u w:val="single"/>
        </w:rPr>
        <w:t>二候蝉始鸣，蝉身体和附肢都分节，每年夏至，最后一次褪去外壳，</w:t>
      </w:r>
      <w:r>
        <w:rPr>
          <w:rFonts w:ascii="宋体" w:hAnsi="宋体" w:eastAsia="宋体" w:cs="宋体"/>
          <w:sz w:val="21"/>
          <w:szCs w:val="21"/>
        </w:rPr>
        <w:t>发育成熟进入繁殖期，雄蝉发出吸引雌蝉的嘹亮声音；三候半夏生，半夏，天南星科植物，常在每年夏至过半时开始出现。</w:t>
      </w:r>
    </w:p>
    <w:p w14:paraId="4E6D6422">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）材料中，西红柿植株和杂草之间存在</w:t>
      </w:r>
      <w:r>
        <w:rPr>
          <w:sz w:val="21"/>
          <w:szCs w:val="21"/>
        </w:rPr>
        <w:t>______</w:t>
      </w:r>
      <w:r>
        <w:rPr>
          <w:rFonts w:ascii="宋体" w:hAnsi="宋体" w:eastAsia="宋体" w:cs="宋体"/>
          <w:sz w:val="21"/>
          <w:szCs w:val="21"/>
        </w:rPr>
        <w:t>关系。种植同一株西红柿的种子，去除杂草、防治病虫害比疏于管理结出的果实更大，这种变异是</w:t>
      </w:r>
      <w:r>
        <w:rPr>
          <w:sz w:val="21"/>
          <w:szCs w:val="21"/>
        </w:rPr>
        <w:t>______</w:t>
      </w:r>
      <w:r>
        <w:rPr>
          <w:rFonts w:ascii="宋体" w:hAnsi="宋体" w:eastAsia="宋体" w:cs="宋体"/>
          <w:sz w:val="21"/>
          <w:szCs w:val="21"/>
        </w:rPr>
        <w:t>的变异。</w:t>
      </w:r>
    </w:p>
    <w:p w14:paraId="483D07D0">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）根据材料中画线部分可知，蝉是无脊椎动物中的</w:t>
      </w:r>
      <w:r>
        <w:rPr>
          <w:sz w:val="21"/>
          <w:szCs w:val="21"/>
        </w:rPr>
        <w:t>______</w:t>
      </w:r>
      <w:r>
        <w:rPr>
          <w:rFonts w:ascii="宋体" w:hAnsi="宋体" w:eastAsia="宋体" w:cs="宋体"/>
          <w:sz w:val="21"/>
          <w:szCs w:val="21"/>
        </w:rPr>
        <w:t>动物。</w:t>
      </w:r>
    </w:p>
    <w:p w14:paraId="696FF807">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）半夏块茎有毒，可入药，也可用于繁殖，用块茎繁殖的方式属于</w:t>
      </w:r>
      <w:r>
        <w:rPr>
          <w:sz w:val="21"/>
          <w:szCs w:val="21"/>
        </w:rPr>
        <w:t>______</w:t>
      </w:r>
      <w:r>
        <w:rPr>
          <w:rFonts w:ascii="宋体" w:hAnsi="宋体" w:eastAsia="宋体" w:cs="宋体"/>
          <w:sz w:val="21"/>
          <w:szCs w:val="21"/>
        </w:rPr>
        <w:t>生殖。与鹿相比，半夏少了</w:t>
      </w:r>
      <w:r>
        <w:rPr>
          <w:sz w:val="21"/>
          <w:szCs w:val="21"/>
        </w:rPr>
        <w:t>______</w:t>
      </w:r>
      <w:r>
        <w:rPr>
          <w:rFonts w:ascii="宋体" w:hAnsi="宋体" w:eastAsia="宋体" w:cs="宋体"/>
          <w:sz w:val="21"/>
          <w:szCs w:val="21"/>
        </w:rPr>
        <w:t>这一结构层次。</w:t>
      </w:r>
    </w:p>
    <w:p w14:paraId="364E45EC">
      <w:pPr>
        <w:widowControl w:val="0"/>
        <w:spacing w:before="0" w:after="0" w:line="360" w:lineRule="auto"/>
        <w:rPr>
          <w:sz w:val="21"/>
          <w:szCs w:val="21"/>
        </w:rPr>
      </w:pPr>
      <w:r>
        <w:rPr>
          <w:rFonts w:ascii="宋体" w:hAnsi="宋体" w:eastAsia="宋体" w:cs="宋体"/>
          <w:sz w:val="21"/>
          <w:szCs w:val="21"/>
        </w:rPr>
        <w:t>（</w:t>
      </w:r>
      <w:r>
        <w:rPr>
          <w:sz w:val="21"/>
          <w:szCs w:val="21"/>
        </w:rPr>
        <w:t>4</w:t>
      </w:r>
      <w:r>
        <w:rPr>
          <w:rFonts w:ascii="宋体" w:hAnsi="宋体" w:eastAsia="宋体" w:cs="宋体"/>
          <w:sz w:val="21"/>
          <w:szCs w:val="21"/>
        </w:rPr>
        <w:t>）夏至有三候，其中描述的动植物变化规律，体现了</w:t>
      </w:r>
      <w:r>
        <w:rPr>
          <w:sz w:val="21"/>
          <w:szCs w:val="21"/>
        </w:rPr>
        <w:t>______</w:t>
      </w:r>
      <w:r>
        <w:rPr>
          <w:rFonts w:ascii="宋体" w:hAnsi="宋体" w:eastAsia="宋体" w:cs="宋体"/>
          <w:sz w:val="21"/>
          <w:szCs w:val="21"/>
        </w:rPr>
        <w:t>（填“非生物因素”或“生物因素”）对生物的影响。</w:t>
      </w:r>
    </w:p>
    <w:p w14:paraId="509AD75C">
      <w:pPr>
        <w:widowControl w:val="0"/>
        <w:spacing w:before="0" w:after="0" w:line="360" w:lineRule="auto"/>
        <w:rPr>
          <w:sz w:val="21"/>
          <w:szCs w:val="21"/>
        </w:rPr>
      </w:pPr>
      <w:r>
        <w:rPr>
          <w:sz w:val="21"/>
          <w:szCs w:val="21"/>
        </w:rPr>
        <w:t xml:space="preserve">22. </w:t>
      </w:r>
      <w:r>
        <w:rPr>
          <w:rFonts w:ascii="宋体" w:hAnsi="宋体" w:eastAsia="宋体" w:cs="宋体"/>
          <w:sz w:val="21"/>
          <w:szCs w:val="21"/>
        </w:rPr>
        <w:t>某同学在老师的指导下开展“巧用水培装置，实现家庭种植”实践活动。图</w:t>
      </w:r>
      <w:r>
        <w:rPr>
          <w:sz w:val="21"/>
          <w:szCs w:val="21"/>
        </w:rPr>
        <w:t>1</w:t>
      </w:r>
      <w:r>
        <w:rPr>
          <w:rFonts w:ascii="宋体" w:hAnsi="宋体" w:eastAsia="宋体" w:cs="宋体"/>
          <w:sz w:val="21"/>
          <w:szCs w:val="21"/>
        </w:rPr>
        <w:t>是该同学搜集的家庭水培指导建议，图</w:t>
      </w:r>
      <w:r>
        <w:rPr>
          <w:sz w:val="21"/>
          <w:szCs w:val="21"/>
        </w:rPr>
        <w:t>2</w:t>
      </w:r>
      <w:r>
        <w:rPr>
          <w:rFonts w:ascii="宋体" w:hAnsi="宋体" w:eastAsia="宋体" w:cs="宋体"/>
          <w:sz w:val="21"/>
          <w:szCs w:val="21"/>
        </w:rPr>
        <w:t>是水培装置。请据图回答下列问题。</w:t>
      </w:r>
    </w:p>
    <w:p w14:paraId="466077B4">
      <w:pPr>
        <w:widowControl w:val="0"/>
        <w:spacing w:before="0" w:after="0" w:line="360" w:lineRule="auto"/>
        <w:rPr>
          <w:sz w:val="21"/>
          <w:szCs w:val="21"/>
        </w:rPr>
      </w:pPr>
      <w:r>
        <w:rPr>
          <w:strike w:val="0"/>
          <w:sz w:val="21"/>
          <w:szCs w:val="21"/>
          <w:u w:val="none"/>
        </w:rPr>
        <w:drawing>
          <wp:inline distT="0" distB="0" distL="114300" distR="114300">
            <wp:extent cx="5238750" cy="1628775"/>
            <wp:effectExtent l="0" t="0" r="0" b="9525"/>
            <wp:docPr id="100077" name="图片 1000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7" name="图片 100077"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5238750" cy="1628775"/>
                    </a:xfrm>
                    <a:prstGeom prst="rect">
                      <a:avLst/>
                    </a:prstGeom>
                  </pic:spPr>
                </pic:pic>
              </a:graphicData>
            </a:graphic>
          </wp:inline>
        </w:drawing>
      </w:r>
    </w:p>
    <w:p w14:paraId="5548FA0C">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）根据图</w:t>
      </w:r>
      <w:r>
        <w:rPr>
          <w:sz w:val="21"/>
          <w:szCs w:val="21"/>
        </w:rPr>
        <w:t>1</w:t>
      </w:r>
      <w:r>
        <w:rPr>
          <w:rFonts w:ascii="宋体" w:hAnsi="宋体" w:eastAsia="宋体" w:cs="宋体"/>
          <w:sz w:val="21"/>
          <w:szCs w:val="21"/>
        </w:rPr>
        <w:t>中的建议，多通风可提高二氧化碳的浓度，促进白菜的</w:t>
      </w:r>
      <w:r>
        <w:rPr>
          <w:sz w:val="21"/>
          <w:szCs w:val="21"/>
        </w:rPr>
        <w:t>______</w:t>
      </w:r>
      <w:r>
        <w:rPr>
          <w:rFonts w:ascii="宋体" w:hAnsi="宋体" w:eastAsia="宋体" w:cs="宋体"/>
          <w:sz w:val="21"/>
          <w:szCs w:val="21"/>
        </w:rPr>
        <w:t>作用。</w:t>
      </w:r>
    </w:p>
    <w:p w14:paraId="639FBD3C">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）图</w:t>
      </w:r>
      <w:r>
        <w:rPr>
          <w:sz w:val="21"/>
          <w:szCs w:val="21"/>
        </w:rPr>
        <w:t>2</w:t>
      </w:r>
      <w:r>
        <w:rPr>
          <w:rFonts w:ascii="宋体" w:hAnsi="宋体" w:eastAsia="宋体" w:cs="宋体"/>
          <w:sz w:val="21"/>
          <w:szCs w:val="21"/>
        </w:rPr>
        <w:t>中的营养液含水和无机盐，这些物质被吸收的主要部位在根尖的</w:t>
      </w:r>
      <w:r>
        <w:rPr>
          <w:sz w:val="21"/>
          <w:szCs w:val="21"/>
        </w:rPr>
        <w:t>______</w:t>
      </w:r>
      <w:r>
        <w:rPr>
          <w:rFonts w:ascii="宋体" w:hAnsi="宋体" w:eastAsia="宋体" w:cs="宋体"/>
          <w:sz w:val="21"/>
          <w:szCs w:val="21"/>
        </w:rPr>
        <w:t>。</w:t>
      </w:r>
    </w:p>
    <w:p w14:paraId="09F4CD74">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）种植过程中，水培白菜出现萎蔫、烧苗现象，可依据图</w:t>
      </w:r>
      <w:r>
        <w:rPr>
          <w:sz w:val="21"/>
          <w:szCs w:val="21"/>
        </w:rPr>
        <w:t>1</w:t>
      </w:r>
      <w:r>
        <w:rPr>
          <w:rFonts w:ascii="宋体" w:hAnsi="宋体" w:eastAsia="宋体" w:cs="宋体"/>
          <w:sz w:val="21"/>
          <w:szCs w:val="21"/>
        </w:rPr>
        <w:t>中的建议</w:t>
      </w:r>
      <w:r>
        <w:rPr>
          <w:sz w:val="21"/>
          <w:szCs w:val="21"/>
        </w:rPr>
        <w:t>______</w:t>
      </w:r>
      <w:r>
        <w:rPr>
          <w:rFonts w:ascii="宋体" w:hAnsi="宋体" w:eastAsia="宋体" w:cs="宋体"/>
          <w:sz w:val="21"/>
          <w:szCs w:val="21"/>
        </w:rPr>
        <w:t>（填序号）进行改善。</w:t>
      </w:r>
    </w:p>
    <w:p w14:paraId="46F921BD">
      <w:pPr>
        <w:widowControl w:val="0"/>
        <w:spacing w:before="0" w:after="0" w:line="360" w:lineRule="auto"/>
        <w:rPr>
          <w:sz w:val="21"/>
          <w:szCs w:val="21"/>
        </w:rPr>
      </w:pPr>
      <w:r>
        <w:rPr>
          <w:rFonts w:ascii="宋体" w:hAnsi="宋体" w:eastAsia="宋体" w:cs="宋体"/>
          <w:sz w:val="21"/>
          <w:szCs w:val="21"/>
        </w:rPr>
        <w:t>（</w:t>
      </w:r>
      <w:r>
        <w:rPr>
          <w:sz w:val="21"/>
          <w:szCs w:val="21"/>
        </w:rPr>
        <w:t>4</w:t>
      </w:r>
      <w:r>
        <w:rPr>
          <w:rFonts w:ascii="宋体" w:hAnsi="宋体" w:eastAsia="宋体" w:cs="宋体"/>
          <w:sz w:val="21"/>
          <w:szCs w:val="21"/>
        </w:rPr>
        <w:t>）该同学发现部分植株出现根部腐烂现象，在老师建议下于装置底部增设气泵。气泵的主要作用是泵入</w:t>
      </w:r>
      <w:r>
        <w:rPr>
          <w:sz w:val="21"/>
          <w:szCs w:val="21"/>
        </w:rPr>
        <w:t>______</w:t>
      </w:r>
      <w:r>
        <w:rPr>
          <w:rFonts w:ascii="宋体" w:hAnsi="宋体" w:eastAsia="宋体" w:cs="宋体"/>
          <w:sz w:val="21"/>
          <w:szCs w:val="21"/>
        </w:rPr>
        <w:t>保证根的</w:t>
      </w:r>
      <w:r>
        <w:rPr>
          <w:sz w:val="21"/>
          <w:szCs w:val="21"/>
        </w:rPr>
        <w:t>______</w:t>
      </w:r>
      <w:r>
        <w:rPr>
          <w:rFonts w:ascii="宋体" w:hAnsi="宋体" w:eastAsia="宋体" w:cs="宋体"/>
          <w:sz w:val="21"/>
          <w:szCs w:val="21"/>
        </w:rPr>
        <w:t>作用正常进行。</w:t>
      </w:r>
    </w:p>
    <w:p w14:paraId="2BF16A0D">
      <w:pPr>
        <w:widowControl w:val="0"/>
        <w:spacing w:before="0" w:after="0" w:line="360" w:lineRule="auto"/>
        <w:rPr>
          <w:sz w:val="21"/>
          <w:szCs w:val="21"/>
        </w:rPr>
      </w:pPr>
      <w:r>
        <w:rPr>
          <w:rFonts w:ascii="宋体" w:hAnsi="宋体" w:eastAsia="宋体" w:cs="宋体"/>
          <w:sz w:val="21"/>
          <w:szCs w:val="21"/>
        </w:rPr>
        <w:t>（</w:t>
      </w:r>
      <w:r>
        <w:rPr>
          <w:sz w:val="21"/>
          <w:szCs w:val="21"/>
        </w:rPr>
        <w:t>5</w:t>
      </w:r>
      <w:r>
        <w:rPr>
          <w:rFonts w:ascii="宋体" w:hAnsi="宋体" w:eastAsia="宋体" w:cs="宋体"/>
          <w:sz w:val="21"/>
          <w:szCs w:val="21"/>
        </w:rPr>
        <w:t>）收获的白菜可做成美味的菜肴。白菜含有维生素</w:t>
      </w:r>
      <w:r>
        <w:rPr>
          <w:sz w:val="21"/>
          <w:szCs w:val="21"/>
        </w:rPr>
        <w:t>______</w:t>
      </w:r>
      <w:r>
        <w:rPr>
          <w:rFonts w:ascii="宋体" w:hAnsi="宋体" w:eastAsia="宋体" w:cs="宋体"/>
          <w:sz w:val="21"/>
          <w:szCs w:val="21"/>
        </w:rPr>
        <w:t>，有助于防治牙龈出血、坏血病。</w:t>
      </w:r>
    </w:p>
    <w:p w14:paraId="549E71BD">
      <w:pPr>
        <w:widowControl w:val="0"/>
        <w:spacing w:before="0" w:after="0" w:line="360" w:lineRule="auto"/>
        <w:rPr>
          <w:sz w:val="21"/>
          <w:szCs w:val="21"/>
        </w:rPr>
      </w:pPr>
      <w:r>
        <w:rPr>
          <w:sz w:val="21"/>
          <w:szCs w:val="21"/>
        </w:rPr>
        <w:t xml:space="preserve">23. </w:t>
      </w:r>
      <w:r>
        <w:rPr>
          <w:rFonts w:ascii="宋体" w:hAnsi="宋体" w:eastAsia="宋体" w:cs="宋体"/>
          <w:sz w:val="21"/>
          <w:szCs w:val="21"/>
        </w:rPr>
        <w:t>某校开展“非遗文化进校园”活动，同学们在非遗传承人的带领下，制作、品尝糖画，学习其中蕴含的生物学知识，感受非遗魅力。以下是某同学的活动记录单部分内容，请尝试将内容补充完整。</w:t>
      </w:r>
      <w:r>
        <w:rPr>
          <w:strike w:val="0"/>
          <w:sz w:val="21"/>
          <w:szCs w:val="21"/>
          <w:u w:val="none"/>
        </w:rPr>
        <w:drawing>
          <wp:inline distT="0" distB="0" distL="114300" distR="114300">
            <wp:extent cx="28575" cy="28575"/>
            <wp:effectExtent l="0" t="0" r="0" b="0"/>
            <wp:docPr id="100079" name="图片 100079"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9" name="图片 100079" descr="page number 3"/>
                    <pic:cNvPicPr>
                      <a:picLocks noChangeAspect="1"/>
                    </pic:cNvPicPr>
                  </pic:nvPicPr>
                  <pic:blipFill>
                    <a:blip r:embed="rId19"/>
                    <a:stretch>
                      <a:fillRect/>
                    </a:stretch>
                  </pic:blipFill>
                  <pic:spPr>
                    <a:xfrm>
                      <a:off x="0" y="0"/>
                      <a:ext cx="28575" cy="28575"/>
                    </a:xfrm>
                    <a:prstGeom prst="rect">
                      <a:avLst/>
                    </a:prstGeom>
                  </pic:spPr>
                </pic:pic>
              </a:graphicData>
            </a:graphic>
          </wp:inline>
        </w:drawing>
      </w:r>
    </w:p>
    <w:p w14:paraId="07D6121C">
      <w:pPr>
        <w:sectPr>
          <w:headerReference r:id="rId11" w:type="default"/>
          <w:type w:val="continuous"/>
          <w:pgSz w:w="11927" w:h="16875"/>
          <w:pgMar w:top="800" w:right="1120" w:bottom="540" w:left="1120" w:header="708" w:footer="708" w:gutter="0"/>
          <w:cols w:space="708" w:num="1"/>
          <w:docGrid w:linePitch="360" w:charSpace="0"/>
        </w:sectPr>
      </w:pPr>
    </w:p>
    <w:tbl>
      <w:tblPr>
        <w:tblStyle w:val="4"/>
        <w:tblW w:w="780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2550"/>
        <w:gridCol w:w="2835"/>
        <w:gridCol w:w="2415"/>
      </w:tblGrid>
      <w:tr w14:paraId="4DFFAF3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2550" w:type="dxa"/>
            <w:tcBorders>
              <w:bottom w:val="single" w:color="000000" w:sz="6" w:space="0"/>
              <w:right w:val="single" w:color="000000" w:sz="6" w:space="0"/>
            </w:tcBorders>
            <w:noWrap w:val="0"/>
            <w:tcMar>
              <w:top w:w="76" w:type="dxa"/>
              <w:left w:w="120" w:type="dxa"/>
              <w:bottom w:w="76" w:type="dxa"/>
              <w:right w:w="120" w:type="dxa"/>
            </w:tcMar>
            <w:vAlign w:val="center"/>
          </w:tcPr>
          <w:p w14:paraId="04E45CA8">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读经典，品文化之美</w:t>
            </w:r>
          </w:p>
          <w:p w14:paraId="70512142">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w:t>
            </w:r>
            <w:r>
              <w:rPr>
                <w:b w:val="0"/>
                <w:bCs w:val="0"/>
                <w:i w:val="0"/>
                <w:iCs w:val="0"/>
                <w:smallCaps w:val="0"/>
                <w:color w:val="000000"/>
                <w:sz w:val="21"/>
                <w:szCs w:val="21"/>
              </w:rPr>
              <w:t>1</w:t>
            </w:r>
            <w:r>
              <w:rPr>
                <w:rFonts w:ascii="宋体" w:hAnsi="宋体" w:eastAsia="宋体" w:cs="宋体"/>
                <w:b w:val="0"/>
                <w:bCs w:val="0"/>
                <w:i w:val="0"/>
                <w:iCs w:val="0"/>
                <w:smallCaps w:val="0"/>
                <w:color w:val="000000"/>
                <w:sz w:val="21"/>
                <w:szCs w:val="21"/>
              </w:rPr>
              <w:t>）麦芽糖古称</w:t>
            </w:r>
            <w:r>
              <w:rPr>
                <w:b w:val="0"/>
                <w:bCs w:val="0"/>
                <w:i w:val="0"/>
                <w:iCs w:val="0"/>
                <w:smallCaps w:val="0"/>
                <w:color w:val="000000"/>
                <w:sz w:val="21"/>
                <w:szCs w:val="21"/>
              </w:rPr>
              <w:t>“</w:t>
            </w:r>
            <w:r>
              <w:rPr>
                <w:rFonts w:ascii="宋体" w:hAnsi="宋体" w:eastAsia="宋体" w:cs="宋体"/>
                <w:b w:val="0"/>
                <w:bCs w:val="0"/>
                <w:i w:val="0"/>
                <w:iCs w:val="0"/>
                <w:smallCaps w:val="0"/>
                <w:color w:val="000000"/>
                <w:sz w:val="21"/>
                <w:szCs w:val="21"/>
              </w:rPr>
              <w:t>饴饧</w:t>
            </w:r>
            <w:r>
              <w:rPr>
                <w:b w:val="0"/>
                <w:bCs w:val="0"/>
                <w:i w:val="0"/>
                <w:iCs w:val="0"/>
                <w:smallCaps w:val="0"/>
                <w:color w:val="000000"/>
                <w:sz w:val="21"/>
                <w:szCs w:val="21"/>
              </w:rPr>
              <w:t>”</w:t>
            </w:r>
            <w:r>
              <w:rPr>
                <w:rFonts w:ascii="宋体" w:hAnsi="宋体" w:eastAsia="宋体" w:cs="宋体"/>
                <w:b w:val="0"/>
                <w:bCs w:val="0"/>
                <w:i w:val="0"/>
                <w:iCs w:val="0"/>
                <w:smallCaps w:val="0"/>
                <w:color w:val="000000"/>
                <w:sz w:val="21"/>
                <w:szCs w:val="21"/>
              </w:rPr>
              <w:t>，《天工开物》载：</w:t>
            </w:r>
            <w:r>
              <w:rPr>
                <w:b w:val="0"/>
                <w:bCs w:val="0"/>
                <w:i w:val="0"/>
                <w:iCs w:val="0"/>
                <w:smallCaps w:val="0"/>
                <w:color w:val="000000"/>
                <w:sz w:val="21"/>
                <w:szCs w:val="21"/>
              </w:rPr>
              <w:t>“</w:t>
            </w:r>
            <w:r>
              <w:rPr>
                <w:rFonts w:ascii="宋体" w:hAnsi="宋体" w:eastAsia="宋体" w:cs="宋体"/>
                <w:b w:val="0"/>
                <w:bCs w:val="0"/>
                <w:i w:val="0"/>
                <w:iCs w:val="0"/>
                <w:smallCaps w:val="0"/>
                <w:color w:val="000000"/>
                <w:sz w:val="21"/>
                <w:szCs w:val="21"/>
              </w:rPr>
              <w:t>凡饴饧，稻、麦、黍、粟，皆可为之</w:t>
            </w:r>
            <w:r>
              <w:rPr>
                <w:b w:val="0"/>
                <w:bCs w:val="0"/>
                <w:i w:val="0"/>
                <w:iCs w:val="0"/>
                <w:smallCaps w:val="0"/>
                <w:color w:val="000000"/>
                <w:sz w:val="21"/>
                <w:szCs w:val="21"/>
              </w:rPr>
              <w:t>”</w:t>
            </w:r>
            <w:r>
              <w:rPr>
                <w:rFonts w:ascii="宋体" w:hAnsi="宋体" w:eastAsia="宋体" w:cs="宋体"/>
                <w:b w:val="0"/>
                <w:bCs w:val="0"/>
                <w:i w:val="0"/>
                <w:iCs w:val="0"/>
                <w:smallCaps w:val="0"/>
                <w:color w:val="000000"/>
                <w:sz w:val="21"/>
                <w:szCs w:val="21"/>
              </w:rPr>
              <w:t>。稻、麦、黍、粟中含有的</w:t>
            </w:r>
            <w:r>
              <w:rPr>
                <w:b w:val="0"/>
                <w:bCs w:val="0"/>
                <w:i w:val="0"/>
                <w:iCs w:val="0"/>
                <w:smallCaps w:val="0"/>
                <w:color w:val="000000"/>
                <w:sz w:val="21"/>
                <w:szCs w:val="21"/>
              </w:rPr>
              <w:t>______</w:t>
            </w:r>
            <w:r>
              <w:rPr>
                <w:rFonts w:ascii="宋体" w:hAnsi="宋体" w:eastAsia="宋体" w:cs="宋体"/>
                <w:b w:val="0"/>
                <w:bCs w:val="0"/>
                <w:i w:val="0"/>
                <w:iCs w:val="0"/>
                <w:smallCaps w:val="0"/>
                <w:color w:val="000000"/>
                <w:sz w:val="21"/>
                <w:szCs w:val="21"/>
              </w:rPr>
              <w:t>在相关酶的作用下分解为麦芽糖。麦芽糖可用来制作非遗糖画、小糖人等。</w:t>
            </w:r>
          </w:p>
        </w:tc>
        <w:tc>
          <w:tcPr>
            <w:tcW w:w="2835" w:type="dxa"/>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7D810B43">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观糖画，感创造之美</w:t>
            </w:r>
          </w:p>
          <w:p w14:paraId="25ED8F5B">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w:t>
            </w:r>
            <w:r>
              <w:rPr>
                <w:b w:val="0"/>
                <w:bCs w:val="0"/>
                <w:i w:val="0"/>
                <w:iCs w:val="0"/>
                <w:smallCaps w:val="0"/>
                <w:color w:val="000000"/>
                <w:sz w:val="21"/>
                <w:szCs w:val="21"/>
              </w:rPr>
              <w:t>2</w:t>
            </w:r>
            <w:r>
              <w:rPr>
                <w:rFonts w:ascii="宋体" w:hAnsi="宋体" w:eastAsia="宋体" w:cs="宋体"/>
                <w:b w:val="0"/>
                <w:bCs w:val="0"/>
                <w:i w:val="0"/>
                <w:iCs w:val="0"/>
                <w:smallCaps w:val="0"/>
                <w:color w:val="000000"/>
                <w:sz w:val="21"/>
                <w:szCs w:val="21"/>
              </w:rPr>
              <w:t>）非遗传承人熬糖、绘制、着色，以勺为笔，创造出精美的画作。糖画反射的光线经晶状体折射后，落在下图中的</w:t>
            </w:r>
            <w:r>
              <w:rPr>
                <w:b w:val="0"/>
                <w:bCs w:val="0"/>
                <w:i w:val="0"/>
                <w:iCs w:val="0"/>
                <w:smallCaps w:val="0"/>
                <w:color w:val="000000"/>
                <w:sz w:val="21"/>
                <w:szCs w:val="21"/>
              </w:rPr>
              <w:t>______</w:t>
            </w:r>
            <w:r>
              <w:rPr>
                <w:rFonts w:ascii="宋体" w:hAnsi="宋体" w:eastAsia="宋体" w:cs="宋体"/>
                <w:b w:val="0"/>
                <w:bCs w:val="0"/>
                <w:i w:val="0"/>
                <w:iCs w:val="0"/>
                <w:smallCaps w:val="0"/>
                <w:color w:val="000000"/>
                <w:sz w:val="21"/>
                <w:szCs w:val="21"/>
              </w:rPr>
              <w:t>（填序号）上形成清晰的物像。</w:t>
            </w:r>
          </w:p>
          <w:p w14:paraId="187A237B">
            <w:pPr>
              <w:widowControl w:val="0"/>
              <w:spacing w:before="0" w:after="0" w:line="360" w:lineRule="auto"/>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1343025" cy="742950"/>
                  <wp:effectExtent l="0" t="0" r="9525" b="0"/>
                  <wp:docPr id="100093" name="图片 10009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3" name="图片 100093"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343025" cy="742950"/>
                          </a:xfrm>
                          <a:prstGeom prst="rect">
                            <a:avLst/>
                          </a:prstGeom>
                        </pic:spPr>
                      </pic:pic>
                    </a:graphicData>
                  </a:graphic>
                </wp:inline>
              </w:drawing>
            </w:r>
          </w:p>
        </w:tc>
        <w:tc>
          <w:tcPr>
            <w:tcW w:w="2415" w:type="dxa"/>
            <w:tcBorders>
              <w:left w:val="single" w:color="000000" w:sz="6" w:space="0"/>
              <w:bottom w:val="single" w:color="000000" w:sz="6" w:space="0"/>
            </w:tcBorders>
            <w:noWrap w:val="0"/>
            <w:tcMar>
              <w:top w:w="76" w:type="dxa"/>
              <w:left w:w="120" w:type="dxa"/>
              <w:bottom w:w="76" w:type="dxa"/>
              <w:right w:w="120" w:type="dxa"/>
            </w:tcMar>
            <w:vAlign w:val="center"/>
          </w:tcPr>
          <w:p w14:paraId="3B41F737">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尝糖画，享劳动之羡</w:t>
            </w:r>
          </w:p>
          <w:p w14:paraId="3DE0852C">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w:t>
            </w:r>
            <w:r>
              <w:rPr>
                <w:b w:val="0"/>
                <w:bCs w:val="0"/>
                <w:i w:val="0"/>
                <w:iCs w:val="0"/>
                <w:smallCaps w:val="0"/>
                <w:color w:val="000000"/>
                <w:sz w:val="21"/>
                <w:szCs w:val="21"/>
              </w:rPr>
              <w:t>3</w:t>
            </w:r>
            <w:r>
              <w:rPr>
                <w:rFonts w:ascii="宋体" w:hAnsi="宋体" w:eastAsia="宋体" w:cs="宋体"/>
                <w:b w:val="0"/>
                <w:bCs w:val="0"/>
                <w:i w:val="0"/>
                <w:iCs w:val="0"/>
                <w:smallCaps w:val="0"/>
                <w:color w:val="000000"/>
                <w:sz w:val="21"/>
                <w:szCs w:val="21"/>
              </w:rPr>
              <w:t>）亲手制作的糖画，吃起来格外香甜。吃糖时，甜的感觉产生于下图中</w:t>
            </w:r>
            <w:r>
              <w:rPr>
                <w:b w:val="0"/>
                <w:bCs w:val="0"/>
                <w:i w:val="0"/>
                <w:iCs w:val="0"/>
                <w:smallCaps w:val="0"/>
                <w:color w:val="000000"/>
                <w:sz w:val="21"/>
                <w:szCs w:val="21"/>
              </w:rPr>
              <w:t>______</w:t>
            </w:r>
            <w:r>
              <w:rPr>
                <w:rFonts w:ascii="宋体" w:hAnsi="宋体" w:eastAsia="宋体" w:cs="宋体"/>
                <w:b w:val="0"/>
                <w:bCs w:val="0"/>
                <w:i w:val="0"/>
                <w:iCs w:val="0"/>
                <w:smallCaps w:val="0"/>
                <w:color w:val="000000"/>
                <w:sz w:val="21"/>
                <w:szCs w:val="21"/>
              </w:rPr>
              <w:t>（填序号）。</w:t>
            </w:r>
          </w:p>
          <w:p w14:paraId="0EF4353C">
            <w:pPr>
              <w:widowControl w:val="0"/>
              <w:spacing w:before="0" w:after="0" w:line="360" w:lineRule="auto"/>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1047750" cy="809625"/>
                  <wp:effectExtent l="0" t="0" r="0" b="9525"/>
                  <wp:docPr id="100095" name="图片 10009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5" name="图片 10009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047750" cy="809625"/>
                          </a:xfrm>
                          <a:prstGeom prst="rect">
                            <a:avLst/>
                          </a:prstGeom>
                        </pic:spPr>
                      </pic:pic>
                    </a:graphicData>
                  </a:graphic>
                </wp:inline>
              </w:drawing>
            </w:r>
          </w:p>
        </w:tc>
      </w:tr>
      <w:tr w14:paraId="4100DE7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7785" w:type="dxa"/>
            <w:gridSpan w:val="3"/>
            <w:tcBorders>
              <w:top w:val="single" w:color="000000" w:sz="6" w:space="0"/>
            </w:tcBorders>
            <w:noWrap w:val="0"/>
            <w:tcMar>
              <w:top w:w="76" w:type="dxa"/>
              <w:left w:w="120" w:type="dxa"/>
              <w:bottom w:w="76" w:type="dxa"/>
              <w:right w:w="120" w:type="dxa"/>
            </w:tcMar>
            <w:vAlign w:val="center"/>
          </w:tcPr>
          <w:p w14:paraId="3F66B30C">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建概念，悟知识之美</w:t>
            </w:r>
          </w:p>
          <w:p w14:paraId="7DCB171A">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w:t>
            </w:r>
            <w:r>
              <w:rPr>
                <w:b w:val="0"/>
                <w:bCs w:val="0"/>
                <w:i w:val="0"/>
                <w:iCs w:val="0"/>
                <w:smallCaps w:val="0"/>
                <w:color w:val="000000"/>
                <w:sz w:val="21"/>
                <w:szCs w:val="21"/>
              </w:rPr>
              <w:t>4</w:t>
            </w:r>
            <w:r>
              <w:rPr>
                <w:rFonts w:ascii="宋体" w:hAnsi="宋体" w:eastAsia="宋体" w:cs="宋体"/>
                <w:b w:val="0"/>
                <w:bCs w:val="0"/>
                <w:i w:val="0"/>
                <w:iCs w:val="0"/>
                <w:smallCaps w:val="0"/>
                <w:color w:val="000000"/>
                <w:sz w:val="21"/>
                <w:szCs w:val="21"/>
              </w:rPr>
              <w:t>）吃糖画后，麦芽糖在人体多系统协调作用下，参与复杂的生命活动。据此建构的概念图如下图所示。</w:t>
            </w:r>
          </w:p>
          <w:p w14:paraId="43BD1883">
            <w:pPr>
              <w:widowControl w:val="0"/>
              <w:spacing w:before="0" w:after="0" w:line="360" w:lineRule="auto"/>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2752725" cy="1219200"/>
                  <wp:effectExtent l="0" t="0" r="9525" b="0"/>
                  <wp:docPr id="100097" name="图片 10009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7" name="图片 100097"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2752725" cy="1219200"/>
                          </a:xfrm>
                          <a:prstGeom prst="rect">
                            <a:avLst/>
                          </a:prstGeom>
                        </pic:spPr>
                      </pic:pic>
                    </a:graphicData>
                  </a:graphic>
                </wp:inline>
              </w:drawing>
            </w:r>
          </w:p>
          <w:p w14:paraId="675FAA0A">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麦芽糖彻底分解为葡萄糖后，由</w:t>
            </w:r>
            <w:r>
              <w:rPr>
                <w:b w:val="0"/>
                <w:bCs w:val="0"/>
                <w:i w:val="0"/>
                <w:iCs w:val="0"/>
                <w:smallCaps w:val="0"/>
                <w:color w:val="000000"/>
                <w:sz w:val="21"/>
                <w:szCs w:val="21"/>
              </w:rPr>
              <w:t>B</w:t>
            </w:r>
            <w:r>
              <w:rPr>
                <w:rFonts w:ascii="宋体" w:hAnsi="宋体" w:eastAsia="宋体" w:cs="宋体"/>
                <w:b w:val="0"/>
                <w:bCs w:val="0"/>
                <w:i w:val="0"/>
                <w:iCs w:val="0"/>
                <w:smallCaps w:val="0"/>
                <w:color w:val="000000"/>
                <w:sz w:val="21"/>
                <w:szCs w:val="21"/>
              </w:rPr>
              <w:t>系统进入</w:t>
            </w:r>
            <w:r>
              <w:rPr>
                <w:b w:val="0"/>
                <w:bCs w:val="0"/>
                <w:i w:val="0"/>
                <w:iCs w:val="0"/>
                <w:smallCaps w:val="0"/>
                <w:color w:val="000000"/>
                <w:sz w:val="21"/>
                <w:szCs w:val="21"/>
              </w:rPr>
              <w:t>C</w:t>
            </w:r>
            <w:r>
              <w:rPr>
                <w:rFonts w:ascii="宋体" w:hAnsi="宋体" w:eastAsia="宋体" w:cs="宋体"/>
                <w:b w:val="0"/>
                <w:bCs w:val="0"/>
                <w:i w:val="0"/>
                <w:iCs w:val="0"/>
                <w:smallCaps w:val="0"/>
                <w:color w:val="000000"/>
                <w:sz w:val="21"/>
                <w:szCs w:val="21"/>
              </w:rPr>
              <w:t>系统的过程叫做</w:t>
            </w:r>
            <w:r>
              <w:rPr>
                <w:b w:val="0"/>
                <w:bCs w:val="0"/>
                <w:i w:val="0"/>
                <w:iCs w:val="0"/>
                <w:smallCaps w:val="0"/>
                <w:color w:val="000000"/>
                <w:sz w:val="21"/>
                <w:szCs w:val="21"/>
              </w:rPr>
              <w:t>______</w:t>
            </w:r>
            <w:r>
              <w:rPr>
                <w:rFonts w:ascii="宋体" w:hAnsi="宋体" w:eastAsia="宋体" w:cs="宋体"/>
                <w:b w:val="0"/>
                <w:bCs w:val="0"/>
                <w:i w:val="0"/>
                <w:iCs w:val="0"/>
                <w:smallCaps w:val="0"/>
                <w:color w:val="000000"/>
                <w:sz w:val="21"/>
                <w:szCs w:val="21"/>
              </w:rPr>
              <w:t>；</w:t>
            </w:r>
          </w:p>
          <w:p w14:paraId="093C0A97">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葡萄糖进入</w:t>
            </w:r>
            <w:r>
              <w:rPr>
                <w:b w:val="0"/>
                <w:bCs w:val="0"/>
                <w:i w:val="0"/>
                <w:iCs w:val="0"/>
                <w:smallCaps w:val="0"/>
                <w:color w:val="000000"/>
                <w:sz w:val="21"/>
                <w:szCs w:val="21"/>
              </w:rPr>
              <w:t>C</w:t>
            </w:r>
            <w:r>
              <w:rPr>
                <w:rFonts w:ascii="宋体" w:hAnsi="宋体" w:eastAsia="宋体" w:cs="宋体"/>
                <w:b w:val="0"/>
                <w:bCs w:val="0"/>
                <w:i w:val="0"/>
                <w:iCs w:val="0"/>
                <w:smallCaps w:val="0"/>
                <w:color w:val="000000"/>
                <w:sz w:val="21"/>
                <w:szCs w:val="21"/>
              </w:rPr>
              <w:t>系统后，为其运输提供动力的器官是</w:t>
            </w:r>
            <w:r>
              <w:rPr>
                <w:b w:val="0"/>
                <w:bCs w:val="0"/>
                <w:i w:val="0"/>
                <w:iCs w:val="0"/>
                <w:smallCaps w:val="0"/>
                <w:color w:val="000000"/>
                <w:sz w:val="21"/>
                <w:szCs w:val="21"/>
              </w:rPr>
              <w:t>______</w:t>
            </w:r>
            <w:r>
              <w:rPr>
                <w:rFonts w:ascii="宋体" w:hAnsi="宋体" w:eastAsia="宋体" w:cs="宋体"/>
                <w:b w:val="0"/>
                <w:bCs w:val="0"/>
                <w:i w:val="0"/>
                <w:iCs w:val="0"/>
                <w:smallCaps w:val="0"/>
                <w:color w:val="000000"/>
                <w:sz w:val="21"/>
                <w:szCs w:val="21"/>
              </w:rPr>
              <w:t>；</w:t>
            </w:r>
          </w:p>
          <w:p w14:paraId="280585A6">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葡萄糖最终分解为水和二氧化碳，并释放出能量，其中二氧化碳由图中</w:t>
            </w:r>
            <w:r>
              <w:rPr>
                <w:b w:val="0"/>
                <w:bCs w:val="0"/>
                <w:i w:val="0"/>
                <w:iCs w:val="0"/>
                <w:smallCaps w:val="0"/>
                <w:color w:val="000000"/>
                <w:sz w:val="21"/>
                <w:szCs w:val="21"/>
              </w:rPr>
              <w:t>[A]______</w:t>
            </w:r>
            <w:r>
              <w:rPr>
                <w:rFonts w:ascii="宋体" w:hAnsi="宋体" w:eastAsia="宋体" w:cs="宋体"/>
                <w:b w:val="0"/>
                <w:bCs w:val="0"/>
                <w:i w:val="0"/>
                <w:iCs w:val="0"/>
                <w:smallCaps w:val="0"/>
                <w:color w:val="000000"/>
                <w:sz w:val="21"/>
                <w:szCs w:val="21"/>
              </w:rPr>
              <w:t>系统排出体外。</w:t>
            </w:r>
          </w:p>
        </w:tc>
      </w:tr>
    </w:tbl>
    <w:p w14:paraId="3C2E047E">
      <w:pPr>
        <w:widowControl w:val="0"/>
        <w:spacing w:before="0" w:after="0" w:line="360" w:lineRule="auto"/>
        <w:rPr>
          <w:sz w:val="21"/>
          <w:szCs w:val="21"/>
        </w:rPr>
      </w:pPr>
    </w:p>
    <w:p w14:paraId="60FF097D">
      <w:pPr>
        <w:widowControl w:val="0"/>
        <w:spacing w:before="0" w:after="0" w:line="360" w:lineRule="auto"/>
        <w:rPr>
          <w:sz w:val="21"/>
          <w:szCs w:val="21"/>
        </w:rPr>
      </w:pPr>
      <w:r>
        <w:rPr>
          <w:sz w:val="21"/>
          <w:szCs w:val="21"/>
        </w:rPr>
        <w:t xml:space="preserve">24. </w:t>
      </w:r>
      <w:r>
        <w:rPr>
          <w:rFonts w:ascii="宋体" w:hAnsi="宋体" w:eastAsia="宋体" w:cs="宋体"/>
          <w:sz w:val="21"/>
          <w:szCs w:val="21"/>
        </w:rPr>
        <w:t>古人称酸奶为“酪”，许多古籍中均有关于制酪的记载，某同学对此展开了探究。请据题回答。</w:t>
      </w:r>
    </w:p>
    <w:p w14:paraId="50AB18FC">
      <w:pPr>
        <w:widowControl w:val="0"/>
        <w:spacing w:before="0" w:after="0" w:line="360" w:lineRule="auto"/>
        <w:rPr>
          <w:sz w:val="21"/>
          <w:szCs w:val="21"/>
        </w:rPr>
      </w:pPr>
      <w:r>
        <w:rPr>
          <w:rFonts w:ascii="宋体" w:hAnsi="宋体" w:eastAsia="宋体" w:cs="宋体"/>
          <w:sz w:val="21"/>
          <w:szCs w:val="21"/>
        </w:rPr>
        <w:t>【查阅资料】《齐民要术》中制酪流程大致如图所示：</w:t>
      </w:r>
    </w:p>
    <w:p w14:paraId="24641EA6">
      <w:pPr>
        <w:widowControl w:val="0"/>
        <w:spacing w:before="0" w:after="0" w:line="360" w:lineRule="auto"/>
        <w:rPr>
          <w:sz w:val="21"/>
          <w:szCs w:val="21"/>
        </w:rPr>
      </w:pPr>
      <w:r>
        <w:rPr>
          <w:strike w:val="0"/>
          <w:sz w:val="21"/>
          <w:szCs w:val="21"/>
          <w:u w:val="none"/>
        </w:rPr>
        <w:drawing>
          <wp:inline distT="0" distB="0" distL="114300" distR="114300">
            <wp:extent cx="4324350" cy="285750"/>
            <wp:effectExtent l="0" t="0" r="0" b="0"/>
            <wp:docPr id="100099" name="图片 10009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9" name="图片 100099"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4324350" cy="285750"/>
                    </a:xfrm>
                    <a:prstGeom prst="rect">
                      <a:avLst/>
                    </a:prstGeom>
                  </pic:spPr>
                </pic:pic>
              </a:graphicData>
            </a:graphic>
          </wp:inline>
        </w:drawing>
      </w:r>
    </w:p>
    <w:p w14:paraId="255A3C2C">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）上述流程中提到的先成酪，含有的发酵菌种主要是</w:t>
      </w:r>
      <w:r>
        <w:rPr>
          <w:sz w:val="21"/>
          <w:szCs w:val="21"/>
        </w:rPr>
        <w:t>_____</w:t>
      </w:r>
      <w:r>
        <w:rPr>
          <w:rFonts w:ascii="宋体" w:hAnsi="宋体" w:eastAsia="宋体" w:cs="宋体"/>
          <w:sz w:val="21"/>
          <w:szCs w:val="21"/>
        </w:rPr>
        <w:t>，取先成酪混合相当于微生物发酵过程中的</w:t>
      </w:r>
      <w:r>
        <w:rPr>
          <w:sz w:val="21"/>
          <w:szCs w:val="21"/>
        </w:rPr>
        <w:t>_____</w:t>
      </w:r>
      <w:r>
        <w:rPr>
          <w:rFonts w:ascii="宋体" w:hAnsi="宋体" w:eastAsia="宋体" w:cs="宋体"/>
          <w:sz w:val="21"/>
          <w:szCs w:val="21"/>
        </w:rPr>
        <w:t>步骤。</w:t>
      </w:r>
    </w:p>
    <w:p w14:paraId="20B953D0">
      <w:pPr>
        <w:widowControl w:val="0"/>
        <w:spacing w:before="0" w:after="0" w:line="360" w:lineRule="auto"/>
        <w:rPr>
          <w:sz w:val="21"/>
          <w:szCs w:val="21"/>
        </w:rPr>
      </w:pPr>
      <w:r>
        <w:rPr>
          <w:rFonts w:ascii="宋体" w:hAnsi="宋体" w:eastAsia="宋体" w:cs="宋体"/>
          <w:sz w:val="21"/>
          <w:szCs w:val="21"/>
        </w:rPr>
        <w:t>【走访调查】为满足市场需求，酸奶厂会研发不同口味的酸奶。研发人员探究果汁添加比例、发酵时间等因素对酸奶品质的影响，并对酸奶的色泽、滋味、气味等进行感官评价，其中一组实验结果如下图所示：</w:t>
      </w:r>
      <w:r>
        <w:rPr>
          <w:strike w:val="0"/>
          <w:sz w:val="21"/>
          <w:szCs w:val="21"/>
          <w:u w:val="none"/>
        </w:rPr>
        <w:drawing>
          <wp:inline distT="0" distB="0" distL="114300" distR="114300">
            <wp:extent cx="28575" cy="28575"/>
            <wp:effectExtent l="0" t="0" r="0" b="0"/>
            <wp:docPr id="100101" name="图片 100101"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1" name="图片 100101" descr="page number 4"/>
                    <pic:cNvPicPr>
                      <a:picLocks noChangeAspect="1"/>
                    </pic:cNvPicPr>
                  </pic:nvPicPr>
                  <pic:blipFill>
                    <a:blip r:embed="rId19"/>
                    <a:stretch>
                      <a:fillRect/>
                    </a:stretch>
                  </pic:blipFill>
                  <pic:spPr>
                    <a:xfrm>
                      <a:off x="0" y="0"/>
                      <a:ext cx="28575" cy="28575"/>
                    </a:xfrm>
                    <a:prstGeom prst="rect">
                      <a:avLst/>
                    </a:prstGeom>
                  </pic:spPr>
                </pic:pic>
              </a:graphicData>
            </a:graphic>
          </wp:inline>
        </w:drawing>
      </w:r>
    </w:p>
    <w:p w14:paraId="7AC2BEBF">
      <w:pPr>
        <w:sectPr>
          <w:headerReference r:id="rId12" w:type="default"/>
          <w:type w:val="continuous"/>
          <w:pgSz w:w="11927" w:h="16875"/>
          <w:pgMar w:top="800" w:right="1120" w:bottom="540" w:left="1120" w:header="708" w:footer="708" w:gutter="0"/>
          <w:cols w:space="708" w:num="1"/>
          <w:docGrid w:linePitch="360" w:charSpace="0"/>
        </w:sectPr>
      </w:pPr>
    </w:p>
    <w:p w14:paraId="4E0DC6DA">
      <w:pPr>
        <w:widowControl w:val="0"/>
        <w:spacing w:before="0" w:after="0" w:line="360" w:lineRule="auto"/>
        <w:rPr>
          <w:sz w:val="21"/>
          <w:szCs w:val="21"/>
        </w:rPr>
      </w:pPr>
      <w:r>
        <w:rPr>
          <w:strike w:val="0"/>
          <w:sz w:val="21"/>
          <w:szCs w:val="21"/>
          <w:u w:val="none"/>
        </w:rPr>
        <w:drawing>
          <wp:inline distT="0" distB="0" distL="114300" distR="114300">
            <wp:extent cx="2019300" cy="1257300"/>
            <wp:effectExtent l="0" t="0" r="0" b="0"/>
            <wp:docPr id="100115" name="图片 1001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5" name="图片 100115"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2019300" cy="1257300"/>
                    </a:xfrm>
                    <a:prstGeom prst="rect">
                      <a:avLst/>
                    </a:prstGeom>
                  </pic:spPr>
                </pic:pic>
              </a:graphicData>
            </a:graphic>
          </wp:inline>
        </w:drawing>
      </w:r>
    </w:p>
    <w:p w14:paraId="4CF9A0ED">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）根据该实验结果可知，本实验的变量是</w:t>
      </w:r>
      <w:r>
        <w:rPr>
          <w:sz w:val="21"/>
          <w:szCs w:val="21"/>
        </w:rPr>
        <w:t>_____</w:t>
      </w:r>
      <w:r>
        <w:rPr>
          <w:rFonts w:ascii="宋体" w:hAnsi="宋体" w:eastAsia="宋体" w:cs="宋体"/>
          <w:sz w:val="21"/>
          <w:szCs w:val="21"/>
        </w:rPr>
        <w:t>。</w:t>
      </w:r>
    </w:p>
    <w:p w14:paraId="05002AB7">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）分析上图可发现，酸奶感官评分随着桑葚汁添加比例的增加，呈</w:t>
      </w:r>
      <w:r>
        <w:rPr>
          <w:sz w:val="21"/>
          <w:szCs w:val="21"/>
        </w:rPr>
        <w:t>_____</w:t>
      </w:r>
      <w:r>
        <w:rPr>
          <w:rFonts w:ascii="宋体" w:hAnsi="宋体" w:eastAsia="宋体" w:cs="宋体"/>
          <w:sz w:val="21"/>
          <w:szCs w:val="21"/>
        </w:rPr>
        <w:t>的趋势；当桑葚汁添加比例为</w:t>
      </w:r>
      <w:r>
        <w:rPr>
          <w:sz w:val="21"/>
          <w:szCs w:val="21"/>
        </w:rPr>
        <w:t>_____%</w:t>
      </w:r>
      <w:r>
        <w:rPr>
          <w:rFonts w:ascii="宋体" w:hAnsi="宋体" w:eastAsia="宋体" w:cs="宋体"/>
          <w:sz w:val="21"/>
          <w:szCs w:val="21"/>
        </w:rPr>
        <w:t>时，感官评分最高。</w:t>
      </w:r>
    </w:p>
    <w:p w14:paraId="5C6076DC">
      <w:pPr>
        <w:widowControl w:val="0"/>
        <w:spacing w:before="0" w:after="0" w:line="360" w:lineRule="auto"/>
        <w:rPr>
          <w:sz w:val="21"/>
          <w:szCs w:val="21"/>
        </w:rPr>
      </w:pPr>
      <w:r>
        <w:rPr>
          <w:rFonts w:ascii="宋体" w:hAnsi="宋体" w:eastAsia="宋体" w:cs="宋体"/>
          <w:sz w:val="21"/>
          <w:szCs w:val="21"/>
        </w:rPr>
        <w:t>【动手实践】制作酸奶每一步都需严谨细致，操作不当会导致制作失败。</w:t>
      </w:r>
    </w:p>
    <w:p w14:paraId="026CF379">
      <w:pPr>
        <w:widowControl w:val="0"/>
        <w:spacing w:before="0" w:after="0" w:line="360" w:lineRule="auto"/>
        <w:rPr>
          <w:sz w:val="21"/>
          <w:szCs w:val="21"/>
        </w:rPr>
      </w:pPr>
      <w:r>
        <w:rPr>
          <w:rFonts w:ascii="宋体" w:hAnsi="宋体" w:eastAsia="宋体" w:cs="宋体"/>
          <w:sz w:val="21"/>
          <w:szCs w:val="21"/>
        </w:rPr>
        <w:t>（</w:t>
      </w:r>
      <w:r>
        <w:rPr>
          <w:sz w:val="21"/>
          <w:szCs w:val="21"/>
        </w:rPr>
        <w:t>4</w:t>
      </w:r>
      <w:r>
        <w:rPr>
          <w:rFonts w:ascii="宋体" w:hAnsi="宋体" w:eastAsia="宋体" w:cs="宋体"/>
          <w:sz w:val="21"/>
          <w:szCs w:val="21"/>
        </w:rPr>
        <w:t>）若发酵瓶中液体腐败变质，导致这一结果的原因可能是</w:t>
      </w:r>
      <w:r>
        <w:rPr>
          <w:sz w:val="21"/>
          <w:szCs w:val="21"/>
        </w:rPr>
        <w:t>_____</w:t>
      </w:r>
      <w:r>
        <w:rPr>
          <w:rFonts w:ascii="宋体" w:hAnsi="宋体" w:eastAsia="宋体" w:cs="宋体"/>
          <w:sz w:val="21"/>
          <w:szCs w:val="21"/>
        </w:rPr>
        <w:t>。</w:t>
      </w:r>
    </w:p>
    <w:p w14:paraId="1EFD9259">
      <w:pPr>
        <w:widowControl w:val="0"/>
        <w:spacing w:before="0" w:after="0" w:line="360" w:lineRule="auto"/>
        <w:rPr>
          <w:sz w:val="21"/>
          <w:szCs w:val="21"/>
        </w:rPr>
      </w:pPr>
      <w:r>
        <w:rPr>
          <w:rFonts w:ascii="宋体" w:hAnsi="宋体" w:eastAsia="宋体" w:cs="宋体"/>
          <w:sz w:val="21"/>
          <w:szCs w:val="21"/>
        </w:rPr>
        <w:t>①灭菌不彻底</w:t>
      </w:r>
      <w:r>
        <w:rPr>
          <w:sz w:val="21"/>
          <w:szCs w:val="21"/>
        </w:rPr>
        <w:t xml:space="preserve">  </w:t>
      </w:r>
      <w:r>
        <w:rPr>
          <w:rFonts w:ascii="宋体" w:hAnsi="宋体" w:eastAsia="宋体" w:cs="宋体"/>
          <w:sz w:val="21"/>
          <w:szCs w:val="21"/>
        </w:rPr>
        <w:t>②发酵时间过短</w:t>
      </w:r>
      <w:r>
        <w:rPr>
          <w:sz w:val="21"/>
          <w:szCs w:val="21"/>
        </w:rPr>
        <w:t xml:space="preserve">  </w:t>
      </w:r>
      <w:r>
        <w:rPr>
          <w:rFonts w:ascii="宋体" w:hAnsi="宋体" w:eastAsia="宋体" w:cs="宋体"/>
          <w:sz w:val="21"/>
          <w:szCs w:val="21"/>
        </w:rPr>
        <w:t>③密封不严实</w:t>
      </w:r>
    </w:p>
    <w:p w14:paraId="5D195659">
      <w:pPr>
        <w:widowControl w:val="0"/>
        <w:spacing w:before="0" w:after="0" w:line="360" w:lineRule="auto"/>
        <w:rPr>
          <w:sz w:val="21"/>
          <w:szCs w:val="21"/>
        </w:rPr>
      </w:pPr>
      <w:r>
        <w:rPr>
          <w:sz w:val="21"/>
          <w:szCs w:val="21"/>
        </w:rPr>
        <w:t xml:space="preserve">25. </w:t>
      </w:r>
      <w:r>
        <w:rPr>
          <w:rFonts w:ascii="宋体" w:hAnsi="宋体" w:eastAsia="宋体" w:cs="宋体"/>
          <w:sz w:val="21"/>
          <w:szCs w:val="21"/>
        </w:rPr>
        <w:t>某班同学看到“神舟十八号载人飞船成功发射，三名航天员将在我国空间站进行多项实验”这一报道，对其中的太空养鱼充满好奇。随后，同学们在老师指导下利用带瓶塞的无色透明玻璃瓶、塘泥、池塘水、小鱼、金鱼藻等材料，开展生态瓶养鱼实践活动。请回答下列问题。</w:t>
      </w:r>
    </w:p>
    <w:p w14:paraId="709A5858">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）“太空养鱼”在一个</w:t>
      </w:r>
      <w:r>
        <w:rPr>
          <w:sz w:val="21"/>
          <w:szCs w:val="21"/>
        </w:rPr>
        <w:t>1</w:t>
      </w:r>
      <w:r>
        <w:rPr>
          <w:rFonts w:ascii="宋体" w:hAnsi="宋体" w:eastAsia="宋体" w:cs="宋体"/>
          <w:sz w:val="21"/>
          <w:szCs w:val="21"/>
        </w:rPr>
        <w:t>升大小的密闭水族箱内进行，该水族箱内所有生物与其生存的环境形成的统一整体叫做</w:t>
      </w:r>
      <w:r>
        <w:rPr>
          <w:sz w:val="21"/>
          <w:szCs w:val="21"/>
        </w:rPr>
        <w:t>_____</w:t>
      </w:r>
      <w:r>
        <w:rPr>
          <w:rFonts w:ascii="宋体" w:hAnsi="宋体" w:eastAsia="宋体" w:cs="宋体"/>
          <w:sz w:val="21"/>
          <w:szCs w:val="21"/>
        </w:rPr>
        <w:t>。</w:t>
      </w:r>
    </w:p>
    <w:p w14:paraId="5378365C">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）制作生态瓶所用的塘泥含有细菌和真菌等微生物，可分解鱼类排泄物，这些微生物在生态瓶中扮演的角色是</w:t>
      </w:r>
      <w:r>
        <w:rPr>
          <w:sz w:val="21"/>
          <w:szCs w:val="21"/>
        </w:rPr>
        <w:t>_____</w:t>
      </w:r>
      <w:r>
        <w:rPr>
          <w:rFonts w:ascii="宋体" w:hAnsi="宋体" w:eastAsia="宋体" w:cs="宋体"/>
          <w:sz w:val="21"/>
          <w:szCs w:val="21"/>
        </w:rPr>
        <w:t>。</w:t>
      </w:r>
    </w:p>
    <w:p w14:paraId="0DA684AB">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）实践过程中，某同学制作的生态瓶如下图所示。根据下表“生物部分组成成分”一栏判断，该生态瓶评价等级为</w:t>
      </w:r>
      <w:r>
        <w:rPr>
          <w:sz w:val="21"/>
          <w:szCs w:val="21"/>
        </w:rPr>
        <w:t>_____</w:t>
      </w:r>
      <w:r>
        <w:rPr>
          <w:rFonts w:ascii="宋体" w:hAnsi="宋体" w:eastAsia="宋体" w:cs="宋体"/>
          <w:sz w:val="21"/>
          <w:szCs w:val="21"/>
        </w:rPr>
        <w:t>，理由是</w:t>
      </w:r>
      <w:r>
        <w:rPr>
          <w:sz w:val="21"/>
          <w:szCs w:val="21"/>
        </w:rPr>
        <w:t>_____</w:t>
      </w:r>
      <w:r>
        <w:rPr>
          <w:rFonts w:ascii="宋体" w:hAnsi="宋体" w:eastAsia="宋体" w:cs="宋体"/>
          <w:sz w:val="21"/>
          <w:szCs w:val="21"/>
        </w:rPr>
        <w:t>。</w:t>
      </w:r>
    </w:p>
    <w:p w14:paraId="3DCCEE37">
      <w:pPr>
        <w:widowControl w:val="0"/>
        <w:spacing w:before="0" w:after="0" w:line="360" w:lineRule="auto"/>
        <w:rPr>
          <w:sz w:val="21"/>
          <w:szCs w:val="21"/>
        </w:rPr>
      </w:pPr>
      <w:r>
        <w:rPr>
          <w:strike w:val="0"/>
          <w:sz w:val="21"/>
          <w:szCs w:val="21"/>
          <w:u w:val="none"/>
        </w:rPr>
        <w:drawing>
          <wp:inline distT="0" distB="0" distL="114300" distR="114300">
            <wp:extent cx="1209675" cy="1295400"/>
            <wp:effectExtent l="0" t="0" r="9525" b="0"/>
            <wp:docPr id="100117" name="图片 1001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7" name="图片 100117"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209675" cy="1295400"/>
                    </a:xfrm>
                    <a:prstGeom prst="rect">
                      <a:avLst/>
                    </a:prstGeom>
                  </pic:spPr>
                </pic:pic>
              </a:graphicData>
            </a:graphic>
          </wp:inline>
        </w:drawing>
      </w:r>
    </w:p>
    <w:tbl>
      <w:tblPr>
        <w:tblStyle w:val="4"/>
        <w:tblW w:w="807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990"/>
        <w:gridCol w:w="1980"/>
        <w:gridCol w:w="1275"/>
        <w:gridCol w:w="1695"/>
        <w:gridCol w:w="2130"/>
      </w:tblGrid>
      <w:tr w14:paraId="562ED29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8070" w:type="dxa"/>
            <w:gridSpan w:val="5"/>
            <w:tcBorders>
              <w:bottom w:val="single" w:color="000000" w:sz="6" w:space="0"/>
            </w:tcBorders>
            <w:noWrap w:val="0"/>
            <w:tcMar>
              <w:top w:w="76" w:type="dxa"/>
              <w:left w:w="120" w:type="dxa"/>
              <w:bottom w:w="76" w:type="dxa"/>
              <w:right w:w="120" w:type="dxa"/>
            </w:tcMar>
            <w:vAlign w:val="center"/>
          </w:tcPr>
          <w:p w14:paraId="77961A1C">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生态瓶评价表</w:t>
            </w:r>
          </w:p>
        </w:tc>
      </w:tr>
      <w:tr w14:paraId="4DB2908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2970" w:type="dxa"/>
            <w:gridSpan w:val="2"/>
            <w:vMerge w:val="restart"/>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19D05AD9">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评价维度</w:t>
            </w:r>
          </w:p>
        </w:tc>
        <w:tc>
          <w:tcPr>
            <w:tcW w:w="5100" w:type="dxa"/>
            <w:gridSpan w:val="3"/>
            <w:tcBorders>
              <w:top w:val="single" w:color="000000" w:sz="6" w:space="0"/>
              <w:bottom w:val="single" w:color="000000" w:sz="6" w:space="0"/>
            </w:tcBorders>
            <w:noWrap w:val="0"/>
            <w:tcMar>
              <w:top w:w="76" w:type="dxa"/>
              <w:left w:w="120" w:type="dxa"/>
              <w:bottom w:w="76" w:type="dxa"/>
              <w:right w:w="120" w:type="dxa"/>
            </w:tcMar>
            <w:vAlign w:val="center"/>
          </w:tcPr>
          <w:p w14:paraId="3D938D44">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评价等级</w:t>
            </w:r>
          </w:p>
        </w:tc>
      </w:tr>
      <w:tr w14:paraId="40B4B30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gridSpan w:val="2"/>
            <w:vMerge w:val="continue"/>
            <w:tcBorders>
              <w:top w:val="single" w:color="000000" w:sz="6" w:space="0"/>
              <w:bottom w:val="single" w:color="000000" w:sz="6" w:space="0"/>
              <w:right w:val="single" w:color="000000" w:sz="6" w:space="0"/>
            </w:tcBorders>
            <w:vAlign w:val="center"/>
          </w:tcPr>
          <w:p w14:paraId="1BD7250F">
            <w:pPr>
              <w:rPr>
                <w:rFonts w:ascii="宋体" w:hAnsi="宋体" w:eastAsia="宋体" w:cs="宋体"/>
                <w:b w:val="0"/>
                <w:bCs w:val="0"/>
                <w:i w:val="0"/>
                <w:iCs w:val="0"/>
                <w:smallCaps w:val="0"/>
                <w:color w:val="000000"/>
                <w:sz w:val="21"/>
                <w:szCs w:val="21"/>
              </w:rPr>
            </w:pPr>
          </w:p>
        </w:tc>
        <w:tc>
          <w:tcPr>
            <w:tcW w:w="1275"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3797BD7">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A</w:t>
            </w:r>
          </w:p>
        </w:tc>
        <w:tc>
          <w:tcPr>
            <w:tcW w:w="1695"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2C8297A0">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B</w:t>
            </w:r>
          </w:p>
        </w:tc>
        <w:tc>
          <w:tcPr>
            <w:tcW w:w="2130"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1CAF4B81">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C</w:t>
            </w:r>
          </w:p>
        </w:tc>
      </w:tr>
      <w:tr w14:paraId="1EB4BDB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990" w:type="dxa"/>
            <w:tcBorders>
              <w:top w:val="single" w:color="000000" w:sz="6" w:space="0"/>
              <w:right w:val="single" w:color="000000" w:sz="6" w:space="0"/>
            </w:tcBorders>
            <w:noWrap w:val="0"/>
            <w:tcMar>
              <w:top w:w="76" w:type="dxa"/>
              <w:left w:w="120" w:type="dxa"/>
              <w:bottom w:w="76" w:type="dxa"/>
              <w:right w:w="120" w:type="dxa"/>
            </w:tcMar>
            <w:vAlign w:val="center"/>
          </w:tcPr>
          <w:p w14:paraId="7BE07886">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科学性</w:t>
            </w:r>
          </w:p>
        </w:tc>
        <w:tc>
          <w:tcPr>
            <w:tcW w:w="1980" w:type="dxa"/>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32213719">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生物部分组成成分</w:t>
            </w:r>
          </w:p>
        </w:tc>
        <w:tc>
          <w:tcPr>
            <w:tcW w:w="1275" w:type="dxa"/>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0C4AAA43">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成分齐全</w:t>
            </w:r>
          </w:p>
        </w:tc>
        <w:tc>
          <w:tcPr>
            <w:tcW w:w="1695" w:type="dxa"/>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54D9B01D">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缺少一种成分</w:t>
            </w:r>
          </w:p>
        </w:tc>
        <w:tc>
          <w:tcPr>
            <w:tcW w:w="2130" w:type="dxa"/>
            <w:tcBorders>
              <w:top w:val="single" w:color="000000" w:sz="6" w:space="0"/>
              <w:left w:val="single" w:color="000000" w:sz="6" w:space="0"/>
            </w:tcBorders>
            <w:noWrap w:val="0"/>
            <w:tcMar>
              <w:top w:w="76" w:type="dxa"/>
              <w:left w:w="120" w:type="dxa"/>
              <w:bottom w:w="76" w:type="dxa"/>
              <w:right w:w="120" w:type="dxa"/>
            </w:tcMar>
            <w:vAlign w:val="center"/>
          </w:tcPr>
          <w:p w14:paraId="4F3B4FB6">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缺少两种成分或更多</w:t>
            </w:r>
          </w:p>
        </w:tc>
      </w:tr>
    </w:tbl>
    <w:p w14:paraId="674A9ABB">
      <w:pPr>
        <w:widowControl w:val="0"/>
        <w:spacing w:before="0" w:after="0"/>
        <w:jc w:val="both"/>
        <w:rPr>
          <w:sz w:val="0"/>
          <w:szCs w:val="0"/>
        </w:rPr>
      </w:pPr>
      <w:r>
        <w:rPr>
          <w:strike w:val="0"/>
          <w:sz w:val="0"/>
          <w:szCs w:val="0"/>
          <w:u w:val="none"/>
        </w:rPr>
        <w:drawing>
          <wp:inline distT="0" distB="0" distL="114300" distR="114300">
            <wp:extent cx="28575" cy="28575"/>
            <wp:effectExtent l="0" t="0" r="0" b="0"/>
            <wp:docPr id="100119" name="图片 100119" descr="page numb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9" name="图片 100119" descr="page number 5"/>
                    <pic:cNvPicPr>
                      <a:picLocks noChangeAspect="1"/>
                    </pic:cNvPicPr>
                  </pic:nvPicPr>
                  <pic:blipFill>
                    <a:blip r:embed="rId19"/>
                    <a:stretch>
                      <a:fillRect/>
                    </a:stretch>
                  </pic:blipFill>
                  <pic:spPr>
                    <a:xfrm>
                      <a:off x="0" y="0"/>
                      <a:ext cx="28575" cy="28575"/>
                    </a:xfrm>
                    <a:prstGeom prst="rect">
                      <a:avLst/>
                    </a:prstGeom>
                  </pic:spPr>
                </pic:pic>
              </a:graphicData>
            </a:graphic>
          </wp:inline>
        </w:drawing>
      </w:r>
    </w:p>
    <w:p w14:paraId="3A99CDAD">
      <w:pPr>
        <w:sectPr>
          <w:headerReference r:id="rId13" w:type="default"/>
          <w:type w:val="continuous"/>
          <w:pgSz w:w="11927" w:h="16875"/>
          <w:pgMar w:top="800" w:right="1120" w:bottom="540" w:left="1120" w:header="708" w:footer="708" w:gutter="0"/>
          <w:cols w:space="708" w:num="1"/>
          <w:docGrid w:linePitch="360" w:charSpace="0"/>
        </w:sectPr>
      </w:pPr>
    </w:p>
    <w:tbl>
      <w:tblPr>
        <w:tblStyle w:val="4"/>
        <w:tblW w:w="807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990"/>
        <w:gridCol w:w="1980"/>
        <w:gridCol w:w="1275"/>
        <w:gridCol w:w="1695"/>
        <w:gridCol w:w="2130"/>
      </w:tblGrid>
      <w:tr w14:paraId="3232EDD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bottom w:val="single" w:color="000000" w:sz="6" w:space="0"/>
              <w:right w:val="single" w:color="000000" w:sz="6" w:space="0"/>
            </w:tcBorders>
            <w:noWrap w:val="0"/>
            <w:tcMar>
              <w:top w:w="120" w:type="dxa"/>
              <w:left w:w="120" w:type="dxa"/>
              <w:bottom w:w="120" w:type="dxa"/>
              <w:right w:w="120" w:type="dxa"/>
            </w:tcMar>
            <w:vAlign w:val="top"/>
          </w:tcPr>
          <w:p w14:paraId="117A891B">
            <w:pPr>
              <w:widowControl w:val="0"/>
              <w:spacing w:before="0" w:after="0" w:line="360" w:lineRule="auto"/>
              <w:rPr>
                <w:b w:val="0"/>
                <w:bCs w:val="0"/>
                <w:i w:val="0"/>
                <w:iCs w:val="0"/>
                <w:smallCaps w:val="0"/>
                <w:color w:val="000000"/>
                <w:sz w:val="21"/>
                <w:szCs w:val="21"/>
              </w:rPr>
            </w:pPr>
            <w:bookmarkStart w:id="0" w:name="_GoBack"/>
            <w:bookmarkEnd w:id="0"/>
          </w:p>
        </w:tc>
        <w:tc>
          <w:tcPr>
            <w:tcW w:w="1980" w:type="dxa"/>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421711DC">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光照条件</w:t>
            </w:r>
          </w:p>
        </w:tc>
        <w:tc>
          <w:tcPr>
            <w:tcW w:w="1275" w:type="dxa"/>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4747676D">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光线良好</w:t>
            </w:r>
          </w:p>
        </w:tc>
        <w:tc>
          <w:tcPr>
            <w:tcW w:w="1695" w:type="dxa"/>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7C58C8E2">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阳光直射</w:t>
            </w:r>
          </w:p>
        </w:tc>
        <w:tc>
          <w:tcPr>
            <w:tcW w:w="2130" w:type="dxa"/>
            <w:tcBorders>
              <w:left w:val="single" w:color="000000" w:sz="6" w:space="0"/>
              <w:bottom w:val="single" w:color="000000" w:sz="6" w:space="0"/>
            </w:tcBorders>
            <w:noWrap w:val="0"/>
            <w:tcMar>
              <w:top w:w="76" w:type="dxa"/>
              <w:left w:w="120" w:type="dxa"/>
              <w:bottom w:w="76" w:type="dxa"/>
              <w:right w:w="120" w:type="dxa"/>
            </w:tcMar>
            <w:vAlign w:val="center"/>
          </w:tcPr>
          <w:p w14:paraId="79B383AB">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没有光照</w:t>
            </w:r>
          </w:p>
        </w:tc>
      </w:tr>
      <w:tr w14:paraId="7D1B1CE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990"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13E758CF">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美观性</w:t>
            </w:r>
          </w:p>
        </w:tc>
        <w:tc>
          <w:tcPr>
            <w:tcW w:w="7080" w:type="dxa"/>
            <w:gridSpan w:val="4"/>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577CFB2C">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w:t>
            </w:r>
          </w:p>
        </w:tc>
      </w:tr>
      <w:tr w14:paraId="74B48B5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990" w:type="dxa"/>
            <w:tcBorders>
              <w:top w:val="single" w:color="000000" w:sz="6" w:space="0"/>
              <w:right w:val="single" w:color="000000" w:sz="6" w:space="0"/>
            </w:tcBorders>
            <w:noWrap w:val="0"/>
            <w:tcMar>
              <w:top w:w="76" w:type="dxa"/>
              <w:left w:w="120" w:type="dxa"/>
              <w:bottom w:w="76" w:type="dxa"/>
              <w:right w:w="120" w:type="dxa"/>
            </w:tcMar>
            <w:vAlign w:val="center"/>
          </w:tcPr>
          <w:p w14:paraId="3176EC81">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环保性</w:t>
            </w:r>
          </w:p>
        </w:tc>
        <w:tc>
          <w:tcPr>
            <w:tcW w:w="7080" w:type="dxa"/>
            <w:gridSpan w:val="4"/>
            <w:tcBorders>
              <w:top w:val="single" w:color="000000" w:sz="6" w:space="0"/>
              <w:left w:val="single" w:color="000000" w:sz="6" w:space="0"/>
            </w:tcBorders>
            <w:noWrap w:val="0"/>
            <w:tcMar>
              <w:top w:w="76" w:type="dxa"/>
              <w:left w:w="120" w:type="dxa"/>
              <w:bottom w:w="76" w:type="dxa"/>
              <w:right w:w="120" w:type="dxa"/>
            </w:tcMar>
            <w:vAlign w:val="center"/>
          </w:tcPr>
          <w:p w14:paraId="1B321C07">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w:t>
            </w:r>
          </w:p>
        </w:tc>
      </w:tr>
    </w:tbl>
    <w:p w14:paraId="2F754401">
      <w:pPr>
        <w:widowControl w:val="0"/>
        <w:spacing w:before="0" w:after="0" w:line="360" w:lineRule="auto"/>
        <w:rPr>
          <w:sz w:val="21"/>
          <w:szCs w:val="21"/>
        </w:rPr>
      </w:pPr>
    </w:p>
    <w:p w14:paraId="795A16D0">
      <w:pPr>
        <w:widowControl w:val="0"/>
        <w:spacing w:before="0" w:after="0" w:line="360" w:lineRule="auto"/>
        <w:rPr>
          <w:sz w:val="21"/>
          <w:szCs w:val="21"/>
        </w:rPr>
      </w:pPr>
      <w:r>
        <w:rPr>
          <w:rFonts w:ascii="宋体" w:hAnsi="宋体" w:eastAsia="宋体" w:cs="宋体"/>
          <w:sz w:val="21"/>
          <w:szCs w:val="21"/>
        </w:rPr>
        <w:t>（</w:t>
      </w:r>
      <w:r>
        <w:rPr>
          <w:sz w:val="21"/>
          <w:szCs w:val="21"/>
        </w:rPr>
        <w:t>4</w:t>
      </w:r>
      <w:r>
        <w:rPr>
          <w:rFonts w:ascii="宋体" w:hAnsi="宋体" w:eastAsia="宋体" w:cs="宋体"/>
          <w:sz w:val="21"/>
          <w:szCs w:val="21"/>
        </w:rPr>
        <w:t>）上图作品经过完善后，根据上表“光照条件”一栏判断，该生态瓶最好放置在</w:t>
      </w:r>
      <w:r>
        <w:rPr>
          <w:sz w:val="21"/>
          <w:szCs w:val="21"/>
        </w:rPr>
        <w:t>_____</w:t>
      </w:r>
      <w:r>
        <w:rPr>
          <w:rFonts w:ascii="宋体" w:hAnsi="宋体" w:eastAsia="宋体" w:cs="宋体"/>
          <w:sz w:val="21"/>
          <w:szCs w:val="21"/>
        </w:rPr>
        <w:t>的环境中。</w:t>
      </w:r>
    </w:p>
    <w:p w14:paraId="2F57AAEB">
      <w:pPr>
        <w:widowControl w:val="0"/>
        <w:spacing w:before="0" w:after="0" w:line="360" w:lineRule="auto"/>
        <w:rPr>
          <w:sz w:val="21"/>
          <w:szCs w:val="21"/>
        </w:rPr>
      </w:pPr>
      <w:r>
        <w:rPr>
          <w:rFonts w:ascii="宋体" w:hAnsi="宋体" w:eastAsia="宋体" w:cs="宋体"/>
          <w:sz w:val="21"/>
          <w:szCs w:val="21"/>
        </w:rPr>
        <w:t>（</w:t>
      </w:r>
      <w:r>
        <w:rPr>
          <w:sz w:val="21"/>
          <w:szCs w:val="21"/>
        </w:rPr>
        <w:t>5</w:t>
      </w:r>
      <w:r>
        <w:rPr>
          <w:rFonts w:ascii="宋体" w:hAnsi="宋体" w:eastAsia="宋体" w:cs="宋体"/>
          <w:sz w:val="21"/>
          <w:szCs w:val="21"/>
        </w:rPr>
        <w:t>）同学们发现完善后的生态瓶仍不能维持较长时间，请分析可能的原因是</w:t>
      </w:r>
      <w:r>
        <w:rPr>
          <w:sz w:val="21"/>
          <w:szCs w:val="21"/>
        </w:rPr>
        <w:t>_____</w:t>
      </w:r>
      <w:r>
        <w:rPr>
          <w:rFonts w:ascii="宋体" w:hAnsi="宋体" w:eastAsia="宋体" w:cs="宋体"/>
          <w:sz w:val="21"/>
          <w:szCs w:val="21"/>
        </w:rPr>
        <w:t>（写出一条即可）。</w:t>
      </w:r>
      <w:r>
        <w:rPr>
          <w:strike w:val="0"/>
          <w:sz w:val="21"/>
          <w:szCs w:val="21"/>
          <w:u w:val="none"/>
        </w:rPr>
        <w:drawing>
          <wp:inline distT="0" distB="0" distL="114300" distR="114300">
            <wp:extent cx="28575" cy="28575"/>
            <wp:effectExtent l="0" t="0" r="0" b="0"/>
            <wp:docPr id="100133" name="图片 100133" descr="page number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3" name="图片 100133" descr="page number 6"/>
                    <pic:cNvPicPr>
                      <a:picLocks noChangeAspect="1"/>
                    </pic:cNvPicPr>
                  </pic:nvPicPr>
                  <pic:blipFill>
                    <a:blip r:embed="rId19"/>
                    <a:stretch>
                      <a:fillRect/>
                    </a:stretch>
                  </pic:blipFill>
                  <pic:spPr>
                    <a:xfrm>
                      <a:off x="0" y="0"/>
                      <a:ext cx="28575" cy="28575"/>
                    </a:xfrm>
                    <a:prstGeom prst="rect">
                      <a:avLst/>
                    </a:prstGeom>
                  </pic:spPr>
                </pic:pic>
              </a:graphicData>
            </a:graphic>
          </wp:inline>
        </w:drawing>
      </w:r>
    </w:p>
    <w:p w14:paraId="317E0A08"/>
    <w:sectPr>
      <w:headerReference r:id="rId14" w:type="default"/>
      <w:type w:val="continuous"/>
      <w:pgSz w:w="11927" w:h="16875"/>
      <w:pgMar w:top="800" w:right="1120" w:bottom="540" w:left="11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C52BF">
    <w:pPr>
      <w:pStyle w:val="2"/>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7E09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489A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F036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9275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0C7F98">
    <w:pPr>
      <w:pStyle w:val="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4833D">
    <w:pPr>
      <w:pStyle w:val="3"/>
      <w:pBdr>
        <w:bottom w:val="none" w:color="auto" w:sz="0" w:space="1"/>
      </w:pBdr>
      <w:rPr>
        <w:rFonts w:hint="eastAsia"/>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BEAA6">
    <w:pPr>
      <w:pStyle w:val="3"/>
      <w:pBdr>
        <w:bottom w:val="none" w:color="auto" w:sz="0" w:space="1"/>
      </w:pBdr>
      <w:rPr>
        <w:rFonts w:hint="eastAsia"/>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D4E2A">
    <w:pPr>
      <w:pStyle w:val="3"/>
      <w:pBdr>
        <w:bottom w:val="none" w:color="auto" w:sz="0" w:space="1"/>
      </w:pBdr>
      <w:rPr>
        <w:rFonts w:hint="eastAsia"/>
        <w:lang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8B6834">
    <w:pPr>
      <w:pStyle w:val="3"/>
      <w:pBdr>
        <w:bottom w:val="none" w:color="auto" w:sz="0" w:space="1"/>
      </w:pBdr>
      <w:rPr>
        <w:rFonts w:hint="eastAsia"/>
        <w:lang w:eastAsia="zh-CN"/>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B263F">
    <w:pPr>
      <w:pStyle w:val="3"/>
      <w:pBdr>
        <w:bottom w:val="none" w:color="auto" w:sz="0" w:space="1"/>
      </w:pBdr>
      <w:rPr>
        <w:rFonts w:hint="eastAsia"/>
        <w:lang w:eastAsia="zh-CN"/>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B7DC5E">
    <w:pPr>
      <w:pStyle w:val="3"/>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CA2A55"/>
    <w:rsid w:val="174F7C77"/>
    <w:rsid w:val="2C74778E"/>
    <w:rsid w:val="4178025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4" Type="http://schemas.openxmlformats.org/officeDocument/2006/relationships/fontTable" Target="fontTable.xml"/><Relationship Id="rId33" Type="http://schemas.openxmlformats.org/officeDocument/2006/relationships/image" Target="media/image18.png"/><Relationship Id="rId32" Type="http://schemas.openxmlformats.org/officeDocument/2006/relationships/image" Target="media/image17.png"/><Relationship Id="rId31" Type="http://schemas.openxmlformats.org/officeDocument/2006/relationships/image" Target="media/image16.png"/><Relationship Id="rId30" Type="http://schemas.openxmlformats.org/officeDocument/2006/relationships/image" Target="media/image15.png"/><Relationship Id="rId3" Type="http://schemas.openxmlformats.org/officeDocument/2006/relationships/header" Target="header1.xml"/><Relationship Id="rId29" Type="http://schemas.openxmlformats.org/officeDocument/2006/relationships/image" Target="media/image14.png"/><Relationship Id="rId28" Type="http://schemas.openxmlformats.org/officeDocument/2006/relationships/image" Target="media/image13.png"/><Relationship Id="rId27" Type="http://schemas.openxmlformats.org/officeDocument/2006/relationships/image" Target="media/image12.png"/><Relationship Id="rId26" Type="http://schemas.openxmlformats.org/officeDocument/2006/relationships/image" Target="media/image11.png"/><Relationship Id="rId25" Type="http://schemas.openxmlformats.org/officeDocument/2006/relationships/image" Target="media/image10.png"/><Relationship Id="rId24" Type="http://schemas.openxmlformats.org/officeDocument/2006/relationships/image" Target="media/image9.png"/><Relationship Id="rId23" Type="http://schemas.openxmlformats.org/officeDocument/2006/relationships/image" Target="media/image8.png"/><Relationship Id="rId22" Type="http://schemas.openxmlformats.org/officeDocument/2006/relationships/image" Target="media/image7.png"/><Relationship Id="rId21" Type="http://schemas.openxmlformats.org/officeDocument/2006/relationships/image" Target="media/image6.png"/><Relationship Id="rId20" Type="http://schemas.openxmlformats.org/officeDocument/2006/relationships/image" Target="media/image5.png"/><Relationship Id="rId2" Type="http://schemas.openxmlformats.org/officeDocument/2006/relationships/settings" Target="settings.xml"/><Relationship Id="rId19" Type="http://schemas.openxmlformats.org/officeDocument/2006/relationships/image" Target="media/image4.png"/><Relationship Id="rId18" Type="http://schemas.openxmlformats.org/officeDocument/2006/relationships/image" Target="media/image3.png"/><Relationship Id="rId17" Type="http://schemas.openxmlformats.org/officeDocument/2006/relationships/image" Target="media/image2.png"/><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header" Target="header9.xml"/><Relationship Id="rId13" Type="http://schemas.openxmlformats.org/officeDocument/2006/relationships/header" Target="header8.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6</Pages>
  <Words>3621</Words>
  <Characters>3900</Characters>
  <Lines>1</Lines>
  <Paragraphs>1</Paragraphs>
  <TotalTime>0</TotalTime>
  <ScaleCrop>false</ScaleCrop>
  <LinksUpToDate>false</LinksUpToDate>
  <CharactersWithSpaces>4141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2024-06-22T15:00:00Z</dcterms:created>
  <dc:creator>Administrator</dc:creator>
  <cp:lastModifiedBy>上帝掷骰子吗</cp:lastModifiedBy>
  <dcterms:modified xsi:type="dcterms:W3CDTF">2026-02-09T06:13:17Z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326B1ED82A5B4AEDA3CF198C6630E6E7_12</vt:lpwstr>
  </property>
  <property fmtid="{D5CDD505-2E9C-101B-9397-08002B2CF9AE}" pid="4" name="KSOTemplateDocerSaveRecord">
    <vt:lpwstr>eyJoZGlkIjoiMjljNjk0N2RhMTc0NzI3ZTQwZWEyZWMyMzA2NzliMDQiLCJ1c2VySWQiOiI3ODUwOTA2ODcifQ==</vt:lpwstr>
  </property>
</Properties>
</file>