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E499E3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10515600</wp:posOffset>
            </wp:positionH>
            <wp:positionV relativeFrom="topMargin">
              <wp:posOffset>10337800</wp:posOffset>
            </wp:positionV>
            <wp:extent cx="495300" cy="304800"/>
            <wp:effectExtent l="0" t="0" r="0" b="0"/>
            <wp:wrapNone/>
            <wp:docPr id="100026" name="图片 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年上海市中考生物试卷</w:t>
      </w:r>
    </w:p>
    <w:p w14:paraId="54941960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一、选择题：本大题共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 w14:paraId="2482CA19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下列器官中，位于腹腔右上部的是（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041A77F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胃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肺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肝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小肠</w:t>
      </w:r>
    </w:p>
    <w:p w14:paraId="58E910B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下列与小肠吸收营养物质有关的描述是（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883C2D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①小肠是消化道最长的部分②小肠有皱襞和绒毛③小肠中有多种消化液</w:t>
      </w:r>
    </w:p>
    <w:p w14:paraId="04FEA58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①②③</w:t>
      </w:r>
    </w:p>
    <w:p w14:paraId="2A83B72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尿液形成过程中，与完成重吸收作用相关的结构是（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4F50C4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肾小球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肾小囊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输尿管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肾小管</w:t>
      </w:r>
    </w:p>
    <w:p w14:paraId="76DF548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如图是某反射弧模式图，其中①表示的是（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644326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95550" cy="14954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89E4C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感受器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传出神经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神经中枢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效应器</w:t>
      </w:r>
    </w:p>
    <w:p w14:paraId="40A5516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人的手碰到针尖就会马上缩回，然后感到疼痛。产生缩手动作和感觉疼痛的神经中枢依次是（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B7FF29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脊髓，大脑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大脑，脊髓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脊髓，脊髓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大脑，大脑</w:t>
      </w:r>
    </w:p>
    <w:p w14:paraId="757E7B8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下列与长期缺乏体育锻炼、暴饮暴食相关的疾病是（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A96FB7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艾滋病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肺炎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肥胖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呆小症</w:t>
      </w:r>
    </w:p>
    <w:p w14:paraId="3202577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实验“酒精对水蚤心率的影响”需要测定水蚤的心率。图中水蚤心脏的编号是（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49AF0F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43050" cy="13525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7C2BC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</w:t>
      </w:r>
    </w:p>
    <w:p w14:paraId="5C5B98B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下列属于人体特异性免疫的是（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45BCA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皮肤的屏障作用</w:t>
      </w:r>
    </w:p>
    <w:p w14:paraId="210FA1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巨噬细胞吞噬细菌</w:t>
      </w:r>
    </w:p>
    <w:p w14:paraId="6254CC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呼吸道黏膜上的纤毛清扫异物</w:t>
      </w:r>
    </w:p>
    <w:p w14:paraId="053AC7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抗体使病原体失去致病性</w:t>
      </w:r>
    </w:p>
    <w:p w14:paraId="4FF2FBD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与人体第二性征出现有关的激素主要是（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BB34D6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胰岛素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性激素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生长激素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甲状腺激素</w:t>
      </w:r>
    </w:p>
    <w:p w14:paraId="4AD9550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如图①～③表示人工呼吸的几个步骤。正确的顺序为（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F871B1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57575" cy="122872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45757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7AEC3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③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②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①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①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②</w:t>
      </w:r>
    </w:p>
    <w:p w14:paraId="4780FE4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下列属于苔藓植物特征的是（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428C2F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根系发达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依靠种子繁殖</w:t>
      </w:r>
    </w:p>
    <w:p w14:paraId="7AE2D05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植株高大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有类似茎和叶的分化</w:t>
      </w:r>
    </w:p>
    <w:p w14:paraId="6B6D878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鲸属于哺乳类而非鱼类，其不同于鱼类的特征有（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FDDE83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依靠鳍进行游泳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利用鳃进行呼吸</w:t>
      </w:r>
    </w:p>
    <w:p w14:paraId="67F4202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以乳汁哺育幼仔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体表覆盖鳞片</w:t>
      </w:r>
    </w:p>
    <w:p w14:paraId="38FFDEA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科学家在三峡地区</w:t>
      </w:r>
      <w:r>
        <w:rPr>
          <w:rFonts w:ascii="Times New Roman" w:hAnsi="Times New Roman" w:eastAsia="Times New Roman" w:cs="Times New Roman"/>
          <w:color w:val="000000"/>
        </w:rPr>
        <w:t>5.5</w:t>
      </w:r>
      <w:r>
        <w:rPr>
          <w:rFonts w:ascii="宋体" w:hAnsi="宋体" w:eastAsia="宋体" w:cs="宋体"/>
          <w:color w:val="000000"/>
        </w:rPr>
        <w:t>亿年前的地层中发现了夷陵虫化石。经研究，夷陵虫身体分节，有背腹分化和两侧对称的特点，如图所示。目前对夷陵虫所属类群尚无定论，从形态特征上看，夷陵虫最接近于（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889C80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09875" cy="103822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05515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腔肠动物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线虫动物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环节动物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软体动物</w:t>
      </w:r>
    </w:p>
    <w:p w14:paraId="4E6B266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如图是显微镜视野中观察到的青霉，其中属于繁殖结构的是（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7ED321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47875" cy="177165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A6EAB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</w:t>
      </w:r>
    </w:p>
    <w:p w14:paraId="35EDBA0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某兴趣小组探究无氧条件下微生物对厨余垃圾的降解效果（其他条件均相同），结果如表所示。根据实验结果，下列结论正确的是（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36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30"/>
        <w:gridCol w:w="1590"/>
        <w:gridCol w:w="1425"/>
      </w:tblGrid>
      <w:tr w14:paraId="61336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4436E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组别</w:t>
            </w:r>
          </w:p>
        </w:tc>
        <w:tc>
          <w:tcPr>
            <w:tcW w:w="1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4B5B4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处理方式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F3162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  <w:r>
              <w:rPr>
                <w:rFonts w:ascii="宋体" w:hAnsi="宋体" w:eastAsia="宋体" w:cs="宋体"/>
                <w:color w:val="000000"/>
              </w:rPr>
              <w:t>天的降解率</w:t>
            </w:r>
          </w:p>
        </w:tc>
      </w:tr>
      <w:tr w14:paraId="7ABA8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E3A6D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甲</w:t>
            </w:r>
          </w:p>
        </w:tc>
        <w:tc>
          <w:tcPr>
            <w:tcW w:w="1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E1A4C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无微生物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B3E97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5%</w:t>
            </w:r>
          </w:p>
        </w:tc>
      </w:tr>
      <w:tr w14:paraId="35DDA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C07F3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乙</w:t>
            </w:r>
          </w:p>
        </w:tc>
        <w:tc>
          <w:tcPr>
            <w:tcW w:w="1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54AC6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酵母菌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279B2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12%</w:t>
            </w:r>
          </w:p>
        </w:tc>
      </w:tr>
      <w:tr w14:paraId="41187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15B11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丙</w:t>
            </w:r>
          </w:p>
        </w:tc>
        <w:tc>
          <w:tcPr>
            <w:tcW w:w="1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4DC3D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乳酸菌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03EA6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8%</w:t>
            </w:r>
          </w:p>
        </w:tc>
      </w:tr>
      <w:tr w14:paraId="1185F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EBAD5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丁</w:t>
            </w:r>
          </w:p>
        </w:tc>
        <w:tc>
          <w:tcPr>
            <w:tcW w:w="1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04AE3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酵母菌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+</w:t>
            </w:r>
            <w:r>
              <w:rPr>
                <w:rFonts w:ascii="宋体" w:hAnsi="宋体" w:eastAsia="宋体" w:cs="宋体"/>
                <w:color w:val="000000"/>
              </w:rPr>
              <w:t>乳酸菌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9C83E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25%</w:t>
            </w:r>
          </w:p>
        </w:tc>
      </w:tr>
    </w:tbl>
    <w:p w14:paraId="2C587B41">
      <w:pPr>
        <w:spacing w:line="360" w:lineRule="auto"/>
        <w:jc w:val="both"/>
        <w:textAlignment w:val="center"/>
        <w:rPr>
          <w:color w:val="000000"/>
        </w:rPr>
      </w:pPr>
    </w:p>
    <w:p w14:paraId="67DDBF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酵母菌和乳酸菌共同作用的降解效果优于单一菌种</w:t>
      </w:r>
    </w:p>
    <w:p w14:paraId="6A272B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酵母菌在有氧环境中降解效果一定比无氧环境下更好</w:t>
      </w:r>
    </w:p>
    <w:p w14:paraId="18DD2E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乳酸菌降解能力比酵母菌强</w:t>
      </w:r>
    </w:p>
    <w:p w14:paraId="2B3323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所有微生物均能降解厨余垃圾</w:t>
      </w:r>
    </w:p>
    <w:p w14:paraId="5F26E28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下列分类阶元中，生物共同特征最少的是（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E7C826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纲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属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种</w:t>
      </w:r>
    </w:p>
    <w:p w14:paraId="3A2AFBB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沙漠中仙人掌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叶为刺状，这种适应现象的主要非生物因素是（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99ADDC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光照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水分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温度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土壤</w:t>
      </w:r>
    </w:p>
    <w:p w14:paraId="0D60E02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了解种群数量变化的规律和特点，可以用来（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BE720E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①科学灭鼠，避免鼠害泛滥②规划渔业捕捞，控制捕捞量③制定针对性策略，保护濒危动植物④随意砍伐林木，获取充足木材资源</w:t>
      </w:r>
    </w:p>
    <w:p w14:paraId="4A335EE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①②③④</w:t>
      </w:r>
    </w:p>
    <w:p w14:paraId="3A7375B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下列属于生态系统的是（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20196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淀山湖中的水生植物和鱼类</w:t>
      </w:r>
    </w:p>
    <w:p w14:paraId="18BA1A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长兴岛郊野公园内的所有动物</w:t>
      </w:r>
    </w:p>
    <w:p w14:paraId="5ED6C5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大金山岛上的全部生物及其生存环境</w:t>
      </w:r>
    </w:p>
    <w:p w14:paraId="282FAD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上海植物园里的植物和土壤微生物</w:t>
      </w:r>
    </w:p>
    <w:p w14:paraId="6B465C4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下列做法中，有利于保持湿地生态系统稳定性的是（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AFD81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对湿地进行大规模围垦造田</w:t>
      </w:r>
    </w:p>
    <w:p w14:paraId="67705A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定期对湿地的动植物种群进行监测</w:t>
      </w:r>
    </w:p>
    <w:p w14:paraId="7B62FB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向湿地大规模排放工业废水</w:t>
      </w:r>
    </w:p>
    <w:p w14:paraId="35FB2C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在湿地核心区域频繁举办大型观光活动</w:t>
      </w:r>
    </w:p>
    <w:p w14:paraId="28858CD6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二、简答题：本大题共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40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7C0D58F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内环境稳定性的维持是人体生命活动正常进行的必要条件。如表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为小申运动前后的几种生理数据，请回答：</w:t>
      </w:r>
    </w:p>
    <w:p w14:paraId="2EB1751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71675" cy="200977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8CBC1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表</w:t>
      </w:r>
      <w:r>
        <w:rPr>
          <w:rFonts w:ascii="Times New Roman" w:hAnsi="Times New Roman" w:eastAsia="Times New Roman" w:cs="Times New Roman"/>
          <w:color w:val="000000"/>
        </w:rPr>
        <w:t>1</w:t>
      </w:r>
    </w:p>
    <w:tbl>
      <w:tblPr>
        <w:tblStyle w:val="4"/>
        <w:tblW w:w="54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000"/>
        <w:gridCol w:w="1534"/>
        <w:gridCol w:w="1956"/>
      </w:tblGrid>
      <w:tr w14:paraId="6C77B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190AE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A5477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心率（次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宋体" w:hAnsi="宋体" w:eastAsia="宋体" w:cs="宋体"/>
                <w:color w:val="000000"/>
              </w:rPr>
              <w:t>分）</w:t>
            </w:r>
          </w:p>
        </w:tc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D7CDE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呼吸频率（次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宋体" w:hAnsi="宋体" w:eastAsia="宋体" w:cs="宋体"/>
                <w:color w:val="000000"/>
              </w:rPr>
              <w:t>分）</w:t>
            </w:r>
          </w:p>
        </w:tc>
      </w:tr>
      <w:tr w14:paraId="00655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DB0AE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运动前</w:t>
            </w: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DD379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75</w:t>
            </w:r>
          </w:p>
        </w:tc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9E4F8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14</w:t>
            </w:r>
          </w:p>
        </w:tc>
      </w:tr>
      <w:tr w14:paraId="6290A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77118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运动中</w:t>
            </w: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7CD87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150</w:t>
            </w:r>
          </w:p>
        </w:tc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14F81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</w:t>
            </w:r>
          </w:p>
        </w:tc>
      </w:tr>
      <w:tr w14:paraId="0635A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15E98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运动结束后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  <w:r>
              <w:rPr>
                <w:rFonts w:ascii="宋体" w:hAnsi="宋体" w:eastAsia="宋体" w:cs="宋体"/>
                <w:color w:val="000000"/>
              </w:rPr>
              <w:t>分钟</w:t>
            </w: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2E4E4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78</w:t>
            </w:r>
          </w:p>
        </w:tc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B4FD2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16</w:t>
            </w:r>
          </w:p>
        </w:tc>
      </w:tr>
    </w:tbl>
    <w:p w14:paraId="67253A75">
      <w:pPr>
        <w:spacing w:line="360" w:lineRule="auto"/>
        <w:jc w:val="both"/>
        <w:textAlignment w:val="center"/>
        <w:rPr>
          <w:color w:val="000000"/>
        </w:rPr>
      </w:pPr>
    </w:p>
    <w:p w14:paraId="675B31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比较运动前后的人体生理数据，可以发现：运动时，心率会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（选填“增加”“减小”或“不变”）；运动结束后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分钟，心率会逐渐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。这表明，人体的心率并不是固定不变的，而是保持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的状态。</w:t>
      </w:r>
    </w:p>
    <w:p w14:paraId="6CDE6E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运动时，呼吸频率会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（选填“增加”“减小”或“不变”）。</w:t>
      </w:r>
    </w:p>
    <w:p w14:paraId="4541A5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上述心率和呼吸频率的变化，是由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系统和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系统参与调节和控制的。小申在运动中不慎摔伤膝盖，出现了血流不止的现象。表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是他的血常规检测报告单的部分数据，如图是他的血液涂片示意图，请回答（方括号内填写编号）：</w:t>
      </w:r>
    </w:p>
    <w:p w14:paraId="1034925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表</w:t>
      </w:r>
      <w:r>
        <w:rPr>
          <w:rFonts w:ascii="Times New Roman" w:hAnsi="Times New Roman" w:eastAsia="Times New Roman" w:cs="Times New Roman"/>
          <w:color w:val="000000"/>
        </w:rPr>
        <w:t>2</w:t>
      </w:r>
    </w:p>
    <w:tbl>
      <w:tblPr>
        <w:tblStyle w:val="4"/>
        <w:tblW w:w="42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50"/>
        <w:gridCol w:w="1154"/>
        <w:gridCol w:w="2056"/>
      </w:tblGrid>
      <w:tr w14:paraId="705F0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3F05C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检测项目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2D7F6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结果</w:t>
            </w:r>
          </w:p>
        </w:tc>
        <w:tc>
          <w:tcPr>
            <w:tcW w:w="2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2F521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参考值</w:t>
            </w:r>
          </w:p>
        </w:tc>
      </w:tr>
      <w:tr w14:paraId="7BA61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3DB21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白细胞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3EBB3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8.9×10</w:t>
            </w:r>
            <w:r>
              <w:rPr>
                <w:color w:val="000000"/>
                <w:vertAlign w:val="superscript"/>
              </w:rPr>
              <w:t>9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/L</w:t>
            </w:r>
          </w:p>
        </w:tc>
        <w:tc>
          <w:tcPr>
            <w:tcW w:w="2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D06DF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  <w:r>
              <w:rPr>
                <w:rFonts w:ascii="宋体" w:hAnsi="宋体" w:eastAsia="宋体" w:cs="宋体"/>
                <w:color w:val="000000"/>
              </w:rPr>
              <w:t>～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×10</w:t>
            </w:r>
            <w:r>
              <w:rPr>
                <w:color w:val="000000"/>
                <w:vertAlign w:val="superscript"/>
              </w:rPr>
              <w:t>9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/L</w:t>
            </w:r>
          </w:p>
        </w:tc>
      </w:tr>
      <w:tr w14:paraId="2E05C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C8174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红细胞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E4205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5.2×10</w:t>
            </w:r>
            <w:r>
              <w:rPr>
                <w:color w:val="000000"/>
                <w:vertAlign w:val="superscript"/>
              </w:rPr>
              <w:t>12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/L</w:t>
            </w:r>
          </w:p>
        </w:tc>
        <w:tc>
          <w:tcPr>
            <w:tcW w:w="2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E90AB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3.5</w:t>
            </w:r>
            <w:r>
              <w:rPr>
                <w:rFonts w:ascii="宋体" w:hAnsi="宋体" w:eastAsia="宋体" w:cs="宋体"/>
                <w:color w:val="000000"/>
              </w:rPr>
              <w:t>～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5.5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×10</w:t>
            </w:r>
            <w:r>
              <w:rPr>
                <w:color w:val="000000"/>
                <w:vertAlign w:val="superscript"/>
              </w:rPr>
              <w:t>12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/L</w:t>
            </w:r>
          </w:p>
        </w:tc>
      </w:tr>
      <w:tr w14:paraId="43FD3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C51FD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血红蛋白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0E34E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148g/L</w:t>
            </w:r>
          </w:p>
        </w:tc>
        <w:tc>
          <w:tcPr>
            <w:tcW w:w="2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38B35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120</w:t>
            </w:r>
            <w:r>
              <w:rPr>
                <w:rFonts w:ascii="宋体" w:hAnsi="宋体" w:eastAsia="宋体" w:cs="宋体"/>
                <w:color w:val="000000"/>
              </w:rPr>
              <w:t>～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176g/L</w:t>
            </w:r>
          </w:p>
        </w:tc>
      </w:tr>
      <w:tr w14:paraId="7D175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D22DA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血小板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60076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81×10</w:t>
            </w:r>
            <w:r>
              <w:rPr>
                <w:color w:val="000000"/>
                <w:vertAlign w:val="superscript"/>
              </w:rPr>
              <w:t>9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/L</w:t>
            </w:r>
          </w:p>
        </w:tc>
        <w:tc>
          <w:tcPr>
            <w:tcW w:w="2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CDADF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100</w:t>
            </w:r>
            <w:r>
              <w:rPr>
                <w:rFonts w:ascii="宋体" w:hAnsi="宋体" w:eastAsia="宋体" w:cs="宋体"/>
                <w:color w:val="000000"/>
              </w:rPr>
              <w:t>～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300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×10</w:t>
            </w:r>
            <w:r>
              <w:rPr>
                <w:color w:val="000000"/>
                <w:vertAlign w:val="superscript"/>
              </w:rPr>
              <w:t>9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/L</w:t>
            </w:r>
          </w:p>
        </w:tc>
      </w:tr>
    </w:tbl>
    <w:p w14:paraId="0C58FF21">
      <w:pPr>
        <w:spacing w:line="360" w:lineRule="auto"/>
        <w:jc w:val="both"/>
        <w:textAlignment w:val="center"/>
        <w:rPr>
          <w:color w:val="000000"/>
        </w:rPr>
      </w:pPr>
    </w:p>
    <w:p w14:paraId="6D0C89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小申的血常规检测结果中异常的血细胞是图中的</w:t>
      </w: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]</w:t>
      </w:r>
      <w:r>
        <w:rPr>
          <w:rFonts w:ascii="宋体" w:hAnsi="宋体" w:eastAsia="宋体" w:cs="宋体"/>
          <w:color w:val="000000"/>
        </w:rPr>
        <w:t>，其数量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（选填“高于”或“低于”）参考值。</w:t>
      </w:r>
    </w:p>
    <w:p w14:paraId="4909CE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假如小申没有及时对伤口进行消毒处理，导致伤口被细菌感染而引发炎症，则图中</w:t>
      </w: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]</w:t>
      </w:r>
      <w:r>
        <w:rPr>
          <w:rFonts w:ascii="宋体" w:hAnsi="宋体" w:eastAsia="宋体" w:cs="宋体"/>
          <w:color w:val="000000"/>
        </w:rPr>
        <w:t>的数目可能增加。</w:t>
      </w:r>
    </w:p>
    <w:p w14:paraId="030DB7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下列对小申伤口处理的步骤中，不正确的是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ED6F4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用干净纱布按压伤口进行止血</w:t>
      </w:r>
    </w:p>
    <w:p w14:paraId="0367D3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如果伤口较深，应立即在伤口处涂碘酒消毒</w:t>
      </w:r>
    </w:p>
    <w:p w14:paraId="331756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用绷带包扎伤口时，注意不要过紧，以免影响血液循环</w:t>
      </w:r>
    </w:p>
    <w:p w14:paraId="2CC35A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及时送往医院进一步处理</w:t>
      </w:r>
    </w:p>
    <w:p w14:paraId="10EF368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是人体体细胞染色体排序图，图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是某家族卷舌性状的遗传图解。请回答：</w:t>
      </w:r>
    </w:p>
    <w:p w14:paraId="467FBCE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467225" cy="2266950"/>
            <wp:effectExtent l="0" t="0" r="9525" b="0"/>
            <wp:docPr id="100015" name="图片 100015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BC01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人体体细胞中第</w:t>
      </w:r>
      <w:r>
        <w:rPr>
          <w:rFonts w:ascii="Times New Roman" w:hAnsi="Times New Roman" w:eastAsia="Times New Roman" w:cs="Times New Roman"/>
          <w:color w:val="000000"/>
        </w:rPr>
        <w:t>23</w:t>
      </w:r>
      <w:r>
        <w:rPr>
          <w:rFonts w:ascii="宋体" w:hAnsi="宋体" w:eastAsia="宋体" w:cs="宋体"/>
          <w:color w:val="000000"/>
        </w:rPr>
        <w:t>对染色体在男性和女性中形状差异较大，称为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染色体。图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表示的是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（选填“男性”或“女性”）的染色体组成。</w:t>
      </w:r>
    </w:p>
    <w:p w14:paraId="037C48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染色体是由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组成的。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中能决定生物性状的片段，称为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6B7BB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据图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分析，父母都能卷舌，儿子不能卷舌，这种现象在遗传学上称为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125457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胃溃疡是一种常见的消化道疾病，患者常在餐后一段时间出现左上腹腹胀、腹痛或反酸等症状。幽门螺杆菌是导致胃溃疡的罪魁祸首，它是目前发现的唯一能在胃酸中生存的细菌，会削弱胃黏膜的屏障功能。在日常生活里，共用餐具、水杯等增加了幽门螺杆菌的传播机会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为胃壁横切面示意图。请回答：</w:t>
      </w:r>
    </w:p>
    <w:p w14:paraId="050A93B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125345"/>
            <wp:effectExtent l="0" t="0" r="0" b="8255"/>
            <wp:docPr id="100017" name="图片 100017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1253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1586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胃是人体的消化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（选填“器官”或“系统”）。</w:t>
      </w:r>
    </w:p>
    <w:p w14:paraId="48B18A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胃溃疡主要的受损部位是图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中的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（选填“①”“②”“③”或“④”）。</w:t>
      </w:r>
    </w:p>
    <w:p w14:paraId="4DBB7A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幽门螺杆菌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（选填“有”或“无”）成形细胞核。</w:t>
      </w:r>
    </w:p>
    <w:p w14:paraId="5827D7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所示的奥美拉唑肠溶胶囊是治疗幽门螺杆菌感染的药物之一。患者购买时，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（选填“不需要”或“需要”）医生的处方。</w:t>
      </w:r>
    </w:p>
    <w:p w14:paraId="4A22E9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提出一条防止幽门螺杆菌传播的措施：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1867AC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南宋《山家清供》中记载的名菜“蟹酿橙”是以柑橘类果实为容器，挖去果肉后填充蟹肉蒸熟烹饪而成。某校兴趣小组同学尝试用甜橙果实作为容器烹饪这道名菜。图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是河蟹一个附肢的形态示意图，图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是甜橙花的结构示意图。请回答：</w:t>
      </w:r>
    </w:p>
    <w:p w14:paraId="1CB93FB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95775" cy="2162175"/>
            <wp:effectExtent l="0" t="0" r="9525" b="9525"/>
            <wp:docPr id="100019" name="图片 100019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1940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河蟹属于节肢动物，其体表具有坚硬的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，能够保护内部器官并防止体内水分蒸发；身体和附肢均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，有助于灵活运动。</w:t>
      </w:r>
    </w:p>
    <w:p w14:paraId="49E2DD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中，甜橙的花粉从③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中散发出来落在④柱头上的过程，称为传粉。甜橙的果实是由①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发育而成；果实中有许多种子，是由许多②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发育而成。</w:t>
      </w:r>
    </w:p>
    <w:p w14:paraId="2031AE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同学们发现，使用甜橙（</w:t>
      </w:r>
      <w:r>
        <w:rPr>
          <w:rFonts w:ascii="Times New Roman" w:hAnsi="Times New Roman" w:eastAsia="Times New Roman" w:cs="Times New Roman"/>
          <w:color w:val="000000"/>
        </w:rPr>
        <w:t>Citrussinensis</w:t>
      </w:r>
      <w:r>
        <w:rPr>
          <w:rFonts w:ascii="宋体" w:hAnsi="宋体" w:eastAsia="宋体" w:cs="宋体"/>
          <w:color w:val="000000"/>
        </w:rPr>
        <w:t>）烹饪后，蟹腥味较重且口感不佳。若想换用一种与甜橙同属的柑橘类果实作为容器，应选用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4D6A87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Citrusjunos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Fortunellamargarita</w:t>
      </w:r>
    </w:p>
    <w:p w14:paraId="529A1B7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Poncirustrifoliata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Solanumlycopersicum</w:t>
      </w:r>
    </w:p>
    <w:p w14:paraId="11D5902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为进一步开展研究，兴趣小组同学前往生态果园，参观了“蟹稻共生”区域和柑橘类果树立体种植区域。</w:t>
      </w:r>
    </w:p>
    <w:p w14:paraId="6ABE5E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在“蟹稻共生”区域中，蟹粪能作为水稻生长的天然有机肥，水稻上的飞虱等昆虫是幼蟹的天然饵料。请再举一例说明“蟹稻共生”养殖模式的优势：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CFA51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参观后，同学们对如何建设生态果园提出了如下两条不同的建议，并列举了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条具体措施。请将与建议配对的措施编号填入表格右列。</w:t>
      </w:r>
    </w:p>
    <w:tbl>
      <w:tblPr>
        <w:tblStyle w:val="4"/>
        <w:tblW w:w="42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030"/>
        <w:gridCol w:w="1185"/>
      </w:tblGrid>
      <w:tr w14:paraId="58718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5B9D3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4CD52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措施编号</w:t>
            </w:r>
          </w:p>
        </w:tc>
      </w:tr>
      <w:tr w14:paraId="2B170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7D182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建议一提高资源利用率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ED2CD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</w:t>
            </w:r>
          </w:p>
        </w:tc>
      </w:tr>
      <w:tr w14:paraId="1CE19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0B2D0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建议二增强生态系统稳定性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2DE57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</w:t>
            </w:r>
          </w:p>
        </w:tc>
      </w:tr>
    </w:tbl>
    <w:p w14:paraId="0B6301D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①果树下种植耐阴草药，充分利用光能</w:t>
      </w:r>
    </w:p>
    <w:p w14:paraId="56F7ADD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②在果园内引入天敌昆虫，控制虫害</w:t>
      </w:r>
    </w:p>
    <w:p w14:paraId="07C64A7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③建立雨水收集系统，用于灌溉</w:t>
      </w:r>
    </w:p>
    <w:p w14:paraId="3FD9738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④果园四周种植防护林，防止风沙侵蚀</w:t>
      </w:r>
    </w:p>
    <w:p w14:paraId="47716D7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红树是指秋茄、桐花树、木榄等一类植物，因其树枝断面易氧化成红色而得名。请回答：</w:t>
      </w:r>
    </w:p>
    <w:p w14:paraId="06D3C0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部分种类的红树具有“胎生”繁殖的现象，它们的种子直接在果实内萌发，成熟后脱离母树直接插入泥滩生长。它们属于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781CBC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蕨类植物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藻类植物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种子植物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苔藓植物</w:t>
      </w:r>
    </w:p>
    <w:p w14:paraId="4561AE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某种红树具有“叶椭圆形，叶尖钝圆；叶对生着生，革质；胎生果实”等特征。若使用以下检索表，鉴定其具体名称，检索的顺序是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</w:t>
      </w:r>
      <w:r>
        <w:rPr>
          <w:rFonts w:ascii="Times New Roman" w:hAnsi="Times New Roman" w:eastAsia="Times New Roman" w:cs="Times New Roman"/>
          <w:color w:val="000000"/>
        </w:rPr>
        <w:t>1→2→3→4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1→2→3→5</w:t>
      </w:r>
      <w:r>
        <w:rPr>
          <w:rFonts w:ascii="宋体" w:hAnsi="宋体" w:eastAsia="宋体" w:cs="宋体"/>
          <w:color w:val="000000"/>
        </w:rPr>
        <w:t>”）。</w:t>
      </w:r>
    </w:p>
    <w:tbl>
      <w:tblPr>
        <w:tblStyle w:val="4"/>
        <w:tblW w:w="79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995"/>
      </w:tblGrid>
      <w:tr w14:paraId="257BE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7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A42A2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</w:t>
            </w:r>
            <w:r>
              <w:rPr>
                <w:rFonts w:ascii="宋体" w:hAnsi="宋体" w:eastAsia="宋体" w:cs="宋体"/>
                <w:color w:val="000000"/>
              </w:rPr>
              <w:t>叶互生，革质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……</w:t>
            </w:r>
            <w:r>
              <w:rPr>
                <w:rFonts w:ascii="宋体" w:hAnsi="宋体" w:eastAsia="宋体" w:cs="宋体"/>
                <w:color w:val="000000"/>
              </w:rPr>
              <w:t>桐花树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(Aegicerascorniculatum)</w:t>
            </w:r>
          </w:p>
          <w:p w14:paraId="6DCCCEE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</w:t>
            </w:r>
            <w:r>
              <w:rPr>
                <w:rFonts w:ascii="宋体" w:hAnsi="宋体" w:eastAsia="宋体" w:cs="宋体"/>
                <w:color w:val="000000"/>
              </w:rPr>
              <w:t>叶对生，革质或薄革质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……2</w:t>
            </w:r>
          </w:p>
          <w:p w14:paraId="1A43537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</w:t>
            </w:r>
            <w:r>
              <w:rPr>
                <w:rFonts w:ascii="宋体" w:hAnsi="宋体" w:eastAsia="宋体" w:cs="宋体"/>
                <w:color w:val="000000"/>
              </w:rPr>
              <w:t>叶椭圆形或倒卵形，长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4~12</w:t>
            </w:r>
            <w:r>
              <w:rPr>
                <w:rFonts w:ascii="宋体" w:hAnsi="宋体" w:eastAsia="宋体" w:cs="宋体"/>
                <w:color w:val="000000"/>
              </w:rPr>
              <w:t>厘米，叶尖钝圆或短尖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……3</w:t>
            </w:r>
          </w:p>
          <w:p w14:paraId="204FF5E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</w:t>
            </w:r>
            <w:r>
              <w:rPr>
                <w:rFonts w:ascii="宋体" w:hAnsi="宋体" w:eastAsia="宋体" w:cs="宋体"/>
                <w:color w:val="000000"/>
              </w:rPr>
              <w:t>叶长椭圆形或倒披针形，长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8~15</w:t>
            </w:r>
            <w:r>
              <w:rPr>
                <w:rFonts w:ascii="宋体" w:hAnsi="宋体" w:eastAsia="宋体" w:cs="宋体"/>
                <w:color w:val="000000"/>
              </w:rPr>
              <w:t>厘米，叶尖渐尖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……</w:t>
            </w:r>
            <w:r>
              <w:rPr>
                <w:rFonts w:ascii="宋体" w:hAnsi="宋体" w:eastAsia="宋体" w:cs="宋体"/>
                <w:color w:val="000000"/>
              </w:rPr>
              <w:t>木榄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(Bruguieragymnorrhiza)</w:t>
            </w:r>
          </w:p>
          <w:p w14:paraId="0E0454F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3.</w:t>
            </w:r>
            <w:r>
              <w:rPr>
                <w:rFonts w:ascii="宋体" w:hAnsi="宋体" w:eastAsia="宋体" w:cs="宋体"/>
                <w:color w:val="000000"/>
              </w:rPr>
              <w:t>果实为胎生果，种子在果实内萌发形成幼苗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……4</w:t>
            </w:r>
          </w:p>
          <w:p w14:paraId="474B72D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3.</w:t>
            </w:r>
            <w:r>
              <w:rPr>
                <w:rFonts w:ascii="宋体" w:hAnsi="宋体" w:eastAsia="宋体" w:cs="宋体"/>
                <w:color w:val="000000"/>
              </w:rPr>
              <w:t>果实非胎生果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……5</w:t>
            </w:r>
          </w:p>
        </w:tc>
      </w:tr>
    </w:tbl>
    <w:p w14:paraId="60CF6B7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红树林不仅为许多生物提供了栖息地，还能够吸收并储存大量的二氧化碳，被称为“蓝碳”库。如图是某红树林生态系统中的部分生物组成的食物网。</w:t>
      </w:r>
    </w:p>
    <w:p w14:paraId="14A9C78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67000" cy="203835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D5D7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图中直接影响某种小型鱼类种群数量变化的生物因素有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（写出一点即可），虾类和蟹类之间是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关系。</w:t>
      </w:r>
    </w:p>
    <w:p w14:paraId="46A616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鹭可以从多条食物链中获得营养物质和能量，若每个营养级间能量流动的效率相同，写出鹭获取能量最多的一条食物链：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3E8A7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若蟹类的数量减少，在短时间内浮游动物的数量将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（选填“增加”“减少”或“不变”），但一段时间后蟹类、浮游动物的数量又可以恢复到相对稳定状态，这是因为生态系统具有一定的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B8365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腐生细菌和真菌也是红树林生态系统的重要组成成分，它们的作用是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30276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（7）</w:t>
      </w:r>
      <w:r>
        <w:rPr>
          <w:rFonts w:ascii="宋体" w:hAnsi="宋体" w:eastAsia="宋体" w:cs="宋体"/>
          <w:color w:val="000000"/>
        </w:rPr>
        <w:t>红树林通过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作用吸收二氧化碳储存“蓝碳”。</w:t>
      </w:r>
    </w:p>
    <w:p w14:paraId="776D4D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（8）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三个沿海城市尝试引种红树，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两地引种成功，而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地红树无法存活三地的主要环境因子数据如表。据表推测，限制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地红树生长的非生物因素可能是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tbl>
      <w:tblPr>
        <w:tblStyle w:val="4"/>
        <w:tblW w:w="79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30"/>
        <w:gridCol w:w="1890"/>
        <w:gridCol w:w="1695"/>
        <w:gridCol w:w="2115"/>
        <w:gridCol w:w="1650"/>
      </w:tblGrid>
      <w:tr w14:paraId="236E4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73C38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地区</w:t>
            </w:r>
          </w:p>
        </w:tc>
        <w:tc>
          <w:tcPr>
            <w:tcW w:w="1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995F1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年均雨量（毫米）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9EAEE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最高年均气温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℃</w:t>
            </w:r>
          </w:p>
        </w:tc>
        <w:tc>
          <w:tcPr>
            <w:tcW w:w="2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26873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最低年均气温（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℃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D3EFC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环境盐度（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%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</w:tr>
      <w:tr w14:paraId="529FF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20732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W w:w="1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5C299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1071.4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E077E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24.4</w:t>
            </w:r>
          </w:p>
        </w:tc>
        <w:tc>
          <w:tcPr>
            <w:tcW w:w="2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D9131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17.5</w:t>
            </w:r>
          </w:p>
        </w:tc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6A222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18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100027" name="图片 1000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7" name="图片 100027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95</w:t>
            </w:r>
          </w:p>
        </w:tc>
      </w:tr>
      <w:tr w14:paraId="39C29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E8DDB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W w:w="1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2A3A5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1081.7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AD301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24.4</w:t>
            </w:r>
          </w:p>
        </w:tc>
        <w:tc>
          <w:tcPr>
            <w:tcW w:w="2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E873D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17.5</w:t>
            </w:r>
          </w:p>
        </w:tc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6274C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16.80</w:t>
            </w:r>
          </w:p>
        </w:tc>
      </w:tr>
      <w:tr w14:paraId="725BD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3631B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W w:w="1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A2A54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1080.5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77BB1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10.8</w:t>
            </w:r>
          </w:p>
        </w:tc>
        <w:tc>
          <w:tcPr>
            <w:tcW w:w="2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2B4CF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4.0</w:t>
            </w:r>
          </w:p>
        </w:tc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E0B22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17.40</w:t>
            </w:r>
          </w:p>
        </w:tc>
      </w:tr>
    </w:tbl>
    <w:p w14:paraId="2D3B25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（9）</w:t>
      </w:r>
      <w:r>
        <w:rPr>
          <w:rFonts w:ascii="宋体" w:hAnsi="宋体" w:eastAsia="宋体" w:cs="宋体"/>
          <w:color w:val="000000"/>
        </w:rPr>
        <w:t>提出一条保护红树林的具体措施：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E0BC96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利用红外相机可以通过监测环境的温度变化来记录动物的活动。为调查生境花园中动物的种类，对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三个生境花园的鸟类和哺乳类动物进行了红外相机拍摄，得到了如表所示结果。请回答：</w:t>
      </w:r>
    </w:p>
    <w:p w14:paraId="53438CE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表</w:t>
      </w:r>
    </w:p>
    <w:tbl>
      <w:tblPr>
        <w:tblStyle w:val="4"/>
        <w:tblW w:w="6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50"/>
        <w:gridCol w:w="2940"/>
        <w:gridCol w:w="1260"/>
        <w:gridCol w:w="1470"/>
      </w:tblGrid>
      <w:tr w14:paraId="70598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4DE61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生境花园</w:t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AA8F2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植被复杂程度（植物种类数）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B77BD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鸟类种类数</w:t>
            </w: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38FCB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猫的探测比例</w:t>
            </w:r>
          </w:p>
        </w:tc>
      </w:tr>
      <w:tr w14:paraId="35A4D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A9EFF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BA3C8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  <w:r>
              <w:rPr>
                <w:rFonts w:ascii="宋体" w:hAnsi="宋体" w:eastAsia="宋体" w:cs="宋体"/>
                <w:color w:val="000000"/>
              </w:rPr>
              <w:t>种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F8561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种</w:t>
            </w: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B977D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85%</w:t>
            </w:r>
          </w:p>
        </w:tc>
      </w:tr>
      <w:tr w14:paraId="177B2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D94B9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088EF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</w:t>
            </w:r>
            <w:r>
              <w:rPr>
                <w:rFonts w:ascii="宋体" w:hAnsi="宋体" w:eastAsia="宋体" w:cs="宋体"/>
                <w:color w:val="000000"/>
              </w:rPr>
              <w:t>种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B14F7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  <w:r>
              <w:rPr>
                <w:rFonts w:ascii="宋体" w:hAnsi="宋体" w:eastAsia="宋体" w:cs="宋体"/>
                <w:color w:val="000000"/>
              </w:rPr>
              <w:t>种</w:t>
            </w: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07ECE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40%</w:t>
            </w:r>
          </w:p>
        </w:tc>
      </w:tr>
      <w:tr w14:paraId="7ABC8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455E5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1A6EA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22</w:t>
            </w:r>
            <w:r>
              <w:rPr>
                <w:rFonts w:ascii="宋体" w:hAnsi="宋体" w:eastAsia="宋体" w:cs="宋体"/>
                <w:color w:val="000000"/>
              </w:rPr>
              <w:t>种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7AB3B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11</w:t>
            </w:r>
            <w:r>
              <w:rPr>
                <w:rFonts w:ascii="宋体" w:hAnsi="宋体" w:eastAsia="宋体" w:cs="宋体"/>
                <w:color w:val="000000"/>
              </w:rPr>
              <w:t>种</w:t>
            </w: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166C9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12%</w:t>
            </w:r>
          </w:p>
        </w:tc>
      </w:tr>
    </w:tbl>
    <w:p w14:paraId="3E8503E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注：“猫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探测比例”是指红外相机拍摄到猫活动的天数占总调查天数的比例</w:t>
      </w:r>
    </w:p>
    <w:p w14:paraId="062E33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研究时，三个生境花园面积、光照、观察时段等条件应尽可能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（选填“保持一致”或“不同”）。根据数据推测，生境花园中鸟类种类数随植被复杂程度的增加而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（选填“增加”“减少”或“不变”），随猫的探测比例增加而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（选填“增加”“减少”或“不变”）。</w:t>
      </w:r>
    </w:p>
    <w:p w14:paraId="5DAA4E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若要进一步研究生境花园中某一因素对鸟类种类数的影响，还可以从人类活动、植被类型或邻近绿地的数量等角度提出一条假设：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992115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8BB690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4EFCF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F15471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C733A6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96B604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1E95C88"/>
    <w:rsid w:val="1EB1314F"/>
    <w:rsid w:val="30E178C8"/>
    <w:rsid w:val="38274566"/>
    <w:rsid w:val="68683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wmf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3962</Words>
  <Characters>4612</Characters>
  <Lines>0</Lines>
  <Paragraphs>0</Paragraphs>
  <TotalTime>5</TotalTime>
  <ScaleCrop>false</ScaleCrop>
  <LinksUpToDate>false</LinksUpToDate>
  <CharactersWithSpaces>4861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2025-06-19T14:48:00Z</dcterms:created>
  <dc:creator>学科网试题生产平台</dc:creator>
  <dc:description>3779954678366208</dc:description>
  <cp:lastModifiedBy>上帝掷骰子吗</cp:lastModifiedBy>
  <dcterms:modified xsi:type="dcterms:W3CDTF">2026-02-09T06:16:43Z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29FCA9A8DD25488D94C75C228275B990_12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