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D3B9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10845800</wp:posOffset>
            </wp:positionV>
            <wp:extent cx="355600" cy="482600"/>
            <wp:effectExtent l="0" t="0" r="6350" b="1270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年普通高中学业水平等级性考试（北京卷）</w:t>
      </w:r>
    </w:p>
    <w:p w14:paraId="5D92472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0B25754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本试卷分第一部分和第二部分。满分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F910AE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253605B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42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分。在每小题列出的四个选项中，选出最符合题目要求的一项。</w:t>
      </w:r>
    </w:p>
    <w:p w14:paraId="1C2B028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已知钍</w:t>
      </w:r>
      <w:r>
        <w:rPr>
          <w:rFonts w:ascii="Times New Roman" w:hAnsi="Times New Roman" w:eastAsia="Times New Roman" w:cs="Times New Roman"/>
          <w:color w:val="auto"/>
        </w:rPr>
        <w:t>234</w:t>
      </w:r>
      <w:r>
        <w:rPr>
          <w:rFonts w:ascii="宋体" w:hAnsi="宋体" w:eastAsia="宋体" w:cs="宋体"/>
          <w:color w:val="auto"/>
        </w:rPr>
        <w:t>的半衰期是</w:t>
      </w:r>
      <w:r>
        <w:rPr>
          <w:rFonts w:ascii="Times New Roman" w:hAnsi="Times New Roman" w:eastAsia="Times New Roman" w:cs="Times New Roman"/>
          <w:color w:val="auto"/>
        </w:rPr>
        <w:t>24</w:t>
      </w:r>
      <w:r>
        <w:rPr>
          <w:rFonts w:ascii="宋体" w:hAnsi="宋体" w:eastAsia="宋体" w:cs="宋体"/>
          <w:color w:val="auto"/>
        </w:rPr>
        <w:t>天。</w:t>
      </w:r>
      <w:r>
        <w:rPr>
          <w:rFonts w:ascii="Times New Roman" w:hAnsi="Times New Roman" w:eastAsia="Times New Roman" w:cs="Times New Roman"/>
          <w:color w:val="auto"/>
        </w:rPr>
        <w:t>1g</w:t>
      </w:r>
      <w:r>
        <w:rPr>
          <w:rFonts w:ascii="宋体" w:hAnsi="宋体" w:eastAsia="宋体" w:cs="宋体"/>
          <w:color w:val="auto"/>
        </w:rPr>
        <w:t>钍</w:t>
      </w:r>
      <w:r>
        <w:rPr>
          <w:rFonts w:ascii="Times New Roman" w:hAnsi="Times New Roman" w:eastAsia="Times New Roman" w:cs="Times New Roman"/>
          <w:color w:val="auto"/>
        </w:rPr>
        <w:t>234</w:t>
      </w:r>
      <w:r>
        <w:rPr>
          <w:rFonts w:ascii="宋体" w:hAnsi="宋体" w:eastAsia="宋体" w:cs="宋体"/>
          <w:color w:val="auto"/>
        </w:rPr>
        <w:t>经过</w:t>
      </w:r>
      <w:r>
        <w:rPr>
          <w:rFonts w:ascii="Times New Roman" w:hAnsi="Times New Roman" w:eastAsia="Times New Roman" w:cs="Times New Roman"/>
          <w:color w:val="auto"/>
        </w:rPr>
        <w:t>48</w:t>
      </w:r>
      <w:r>
        <w:rPr>
          <w:rFonts w:ascii="宋体" w:hAnsi="宋体" w:eastAsia="宋体" w:cs="宋体"/>
          <w:color w:val="auto"/>
        </w:rPr>
        <w:t>天后，剩余钍</w:t>
      </w:r>
      <w:r>
        <w:rPr>
          <w:rFonts w:ascii="Times New Roman" w:hAnsi="Times New Roman" w:eastAsia="Times New Roman" w:cs="Times New Roman"/>
          <w:color w:val="auto"/>
        </w:rPr>
        <w:t>234</w:t>
      </w:r>
      <w:r>
        <w:rPr>
          <w:rFonts w:ascii="宋体" w:hAnsi="宋体" w:eastAsia="宋体" w:cs="宋体"/>
          <w:color w:val="auto"/>
        </w:rPr>
        <w:t>的质量为（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8B0FE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0g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0.25g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0.5g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0.75g</w:t>
      </w:r>
    </w:p>
    <w:p w14:paraId="21BAC0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一辆汽车以</w:t>
      </w:r>
      <w:r>
        <w:rPr>
          <w:rFonts w:ascii="Times New Roman" w:hAnsi="Times New Roman" w:eastAsia="Times New Roman" w:cs="Times New Roman"/>
          <w:color w:val="000000"/>
        </w:rPr>
        <w:t>10m/s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66790" name="图片 366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90" name="图片 3667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速度匀速行驶，制动后做匀减速直线运动，经</w:t>
      </w:r>
      <w:r>
        <w:rPr>
          <w:rFonts w:ascii="Times New Roman" w:hAnsi="Times New Roman" w:eastAsia="Times New Roman" w:cs="Times New Roman"/>
          <w:color w:val="000000"/>
        </w:rPr>
        <w:t>2s</w:t>
      </w:r>
      <w:r>
        <w:rPr>
          <w:rFonts w:ascii="宋体" w:hAnsi="宋体" w:eastAsia="宋体" w:cs="宋体"/>
          <w:color w:val="000000"/>
        </w:rPr>
        <w:t>停止，汽车的制动距离为（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8482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66792" name="图片 366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92" name="图片 36679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5m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30m</w:t>
      </w:r>
    </w:p>
    <w:p w14:paraId="09867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一个气泡从恒温水槽的底部缓慢上浮，将气泡内的气体视为理想气体，且气体分子个数不变，外界大气压不变。在上浮过程中气泡内气体（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C4D9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内能变大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压强变大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体积不变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从水中吸热</w:t>
      </w:r>
    </w:p>
    <w:p w14:paraId="57D09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如图所示，飞船与空间站对接后，在推力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作用下一起向前运动。飞船和空间站的质量分别为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，则飞船和空间站之间的作用力大小为（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851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781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0B8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15" o:title="eqId53b490e47900fdf449e7cba7d3780e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17" o:title="eqId65a0dc6a6091b542098955cc1a5d00f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5pt;width:27.75pt;" o:ole="t" filled="f" o:preferrelative="t" stroked="f" coordsize="21600,21600">
            <v:path/>
            <v:fill on="f" focussize="0,0"/>
            <v:stroke on="f" joinstyle="miter"/>
            <v:imagedata r:id="rId19" o:title="eqId52da57604a4ce5aecfb54e8265f63cf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1.5pt;width:27.75pt;" o:ole="t" filled="f" o:preferrelative="t" stroked="f" coordsize="21600,21600">
            <v:path/>
            <v:fill on="f" focussize="0,0"/>
            <v:stroke on="f" joinstyle="miter"/>
            <v:imagedata r:id="rId21" o:title="eqIdc3107cfe9a705530ba2256c8df27b3a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 w14:paraId="6EA18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如图甲所示，理想变压器原线圈接在正弦式交流电源上，输入电压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变化的图像如图乙所示，副线圈接规格为“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3W</w:t>
      </w:r>
      <w:r>
        <w:rPr>
          <w:rFonts w:ascii="宋体" w:hAnsi="宋体" w:eastAsia="宋体" w:cs="宋体"/>
          <w:color w:val="000000"/>
        </w:rPr>
        <w:t>”的灯泡。若灯泡正常发光，下列说法正确的是（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36BC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228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A98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原线圈两端电压的有效值为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24" o:title="eqId73a439dc132ca140d90c5b6411aff88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</w:p>
    <w:p w14:paraId="475F5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副线圈中电流的有效值为</w:t>
      </w:r>
      <w:r>
        <w:rPr>
          <w:rFonts w:ascii="Times New Roman" w:hAnsi="Times New Roman" w:eastAsia="Times New Roman" w:cs="Times New Roman"/>
          <w:color w:val="000000"/>
        </w:rPr>
        <w:t>0.5A</w:t>
      </w:r>
    </w:p>
    <w:p w14:paraId="3F808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原、副线圈匝数之比为</w:t>
      </w:r>
      <w:r>
        <w:rPr>
          <w:rFonts w:ascii="Times New Roman" w:hAnsi="Times New Roman" w:eastAsia="Times New Roman" w:cs="Times New Roman"/>
          <w:color w:val="000000"/>
        </w:rPr>
        <w:t>1∶4</w:t>
      </w:r>
    </w:p>
    <w:p w14:paraId="0CE91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原线圈的输入功率为</w:t>
      </w:r>
      <w:r>
        <w:rPr>
          <w:rFonts w:ascii="Times New Roman" w:hAnsi="Times New Roman" w:eastAsia="Times New Roman" w:cs="Times New Roman"/>
          <w:color w:val="000000"/>
        </w:rPr>
        <w:t>12W</w:t>
      </w:r>
    </w:p>
    <w:p w14:paraId="62BA4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如图所示，线圈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和线圈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绕在同一个铁芯上，下列说法正确的是（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DE1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295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199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闭合开关瞬间，线圈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和线圈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相互吸引</w:t>
      </w:r>
    </w:p>
    <w:p w14:paraId="703E0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闭合开关，达到稳定后，电流表的示数为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2275F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断开开关瞬间，流过电流表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66796" name="图片 366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96" name="图片 3667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电流方向由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</w:p>
    <w:p w14:paraId="23651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断开开关瞬间，线圈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中感应电流的磁场方向向左</w:t>
      </w:r>
    </w:p>
    <w:p w14:paraId="67DBE7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如图所示，光滑水平轨道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与竖直面内的光滑半圆形轨道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点平滑连接。一小物体将轻弹簧压缩至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点后由静止释放，物体脱离弹簧后进入半圆形轨道，恰好能够到达最高点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0DF1B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3811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26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物体在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点所受合力为零</w:t>
      </w:r>
    </w:p>
    <w:p w14:paraId="23822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物体在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点的速度为零</w:t>
      </w:r>
    </w:p>
    <w:p w14:paraId="64327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物体在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点的向心加速度等于重力加速度</w:t>
      </w:r>
    </w:p>
    <w:p w14:paraId="20960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物体在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点时弹簧的弹性势能等于物体在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点的动能</w:t>
      </w:r>
    </w:p>
    <w:p w14:paraId="00B71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将小球竖直向上抛出，小球从抛出到落回原处的过程中，若所受空气阻力大小与速度大小成正比，则下列说法正确的是（　　）</w:t>
      </w:r>
    </w:p>
    <w:p w14:paraId="059637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上升和下落两过程的时间相等</w:t>
      </w:r>
    </w:p>
    <w:p w14:paraId="377AD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上升和下落两过程损失的机械能相等</w:t>
      </w:r>
    </w:p>
    <w:p w14:paraId="52A57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上升过程合力的冲量大于下落过程合力的冲量</w:t>
      </w:r>
    </w:p>
    <w:p w14:paraId="786D0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上升过程的加速度始终小于下落过程的加速度</w:t>
      </w:r>
    </w:p>
    <w:p w14:paraId="5CB56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图甲为用手机和轻弹簧制作的一个振动装置。手机加速度传感器记录了手机在竖直方向的振动情况，以向上为正方向，得到手机振动过程中加速度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变化的曲线为正弦曲线，如图乙所示。下列说法正确的是（　　）</w:t>
      </w:r>
    </w:p>
    <w:p w14:paraId="1CBB9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95675" cy="1638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51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29" o:title="eqId7aeb9a94e392f6759b18abed89aacc5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时，弹簧弹力为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01070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1" o:title="eqIdd93883676b65f51f3afd0ba4b3dc604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时，手机位于平衡位置上方</w:t>
      </w:r>
    </w:p>
    <w:p w14:paraId="23FA4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29" o:title="eqId7aeb9a94e392f6759b18abed89aacc5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4" o:title="eqId38a296351b27d1bae8d1222ea8afcd3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，手机的动能增大</w:t>
      </w:r>
    </w:p>
    <w:p w14:paraId="639D9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变化的关系式为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2pt;width:100.1pt;" o:ole="t" filled="f" o:preferrelative="t" stroked="f" coordsize="21600,21600">
            <v:path/>
            <v:fill on="f" focussize="0,0"/>
            <v:stroke on="f" joinstyle="miter"/>
            <v:imagedata r:id="rId36" o:title="eqIde07c5c9743a5c37849764416bf58081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</w:p>
    <w:p w14:paraId="14172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水平传送带匀速运动，将一物体无初速度地放置在传送带上，最终物体随传送带一起匀速运动。下列说法正确的是（　　）</w:t>
      </w:r>
    </w:p>
    <w:p w14:paraId="04A6BD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刚开始物体相对传送带向前运动</w:t>
      </w:r>
    </w:p>
    <w:p w14:paraId="31E9E4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物体匀速运动过程中，受到静摩擦力</w:t>
      </w:r>
    </w:p>
    <w:p w14:paraId="37725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物体加速运动过程中，摩擦力对物体做负功</w:t>
      </w:r>
    </w:p>
    <w:p w14:paraId="5572C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传送带运动速度越大，物体加速运动的时间越长</w:t>
      </w:r>
    </w:p>
    <w:p w14:paraId="515C2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如图所示，两个等量异种点电荷分别位于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连线上的两点，且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5pt;width:51pt;" o:ole="t" filled="f" o:preferrelative="t" stroked="f" coordsize="21600,21600">
            <v:path/>
            <v:fill on="f" focussize="0,0"/>
            <v:stroke on="f" joinstyle="miter"/>
            <v:imagedata r:id="rId38" o:title="eqId3b05f64ca73142961f55eebd9d103b5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0C8AC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5905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48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点电场强度比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点电场强度大</w:t>
      </w:r>
    </w:p>
    <w:p w14:paraId="3325B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点电势与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点电势相等</w:t>
      </w:r>
    </w:p>
    <w:p w14:paraId="38DC9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若两点电荷的电荷量均变为原来的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点电场强度大小也变为原来的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</w:t>
      </w:r>
    </w:p>
    <w:p w14:paraId="5780F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若两点电荷的电荷量均变为原来的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两点间电势差不变</w:t>
      </w:r>
    </w:p>
    <w:p w14:paraId="4101D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如图所示为一个加速度计的原理图。滑块可沿光滑杆移动，滑块两侧与两根相同的轻弹簧连接；固定在滑块上的滑动片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下端与滑动变阻器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接触良好，且不计摩擦；两个电源的电动势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相同，内阻不计。两弹簧处于原长时，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位于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的中点，理想电压表的指针位于表盘中央。当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端电势高于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端时，指针位于表盘右侧。将加速度计固定在水平运动的被测物体上，则下列说法正确的是（　　）</w:t>
      </w:r>
    </w:p>
    <w:p w14:paraId="31C5B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6668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55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位于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的中点右侧，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端电势低于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端</w:t>
      </w:r>
    </w:p>
    <w:p w14:paraId="6F32F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电压表的示数随物体加速度的增大而增大，但不成正比</w:t>
      </w:r>
    </w:p>
    <w:p w14:paraId="3BE31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若电压表指针位于表盘左侧，则物体速度方向向右</w:t>
      </w:r>
    </w:p>
    <w:p w14:paraId="7361A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若电压表指针位于表盘左侧，则物体加速度方向向右</w:t>
      </w:r>
    </w:p>
    <w:p w14:paraId="1D7B1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产生阿秒光脉冲的研究工作获得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年的诺贝尔物理学奖，阿秒（</w:t>
      </w:r>
      <w:r>
        <w:rPr>
          <w:rFonts w:ascii="Times New Roman" w:hAnsi="Times New Roman" w:eastAsia="Times New Roman" w:cs="Times New Roman"/>
          <w:color w:val="000000"/>
        </w:rPr>
        <w:t>as</w:t>
      </w:r>
      <w:r>
        <w:rPr>
          <w:rFonts w:ascii="宋体" w:hAnsi="宋体" w:eastAsia="宋体" w:cs="宋体"/>
          <w:color w:val="000000"/>
        </w:rPr>
        <w:t>）是时间单位，</w:t>
      </w:r>
      <w:r>
        <w:rPr>
          <w:rFonts w:ascii="Times New Roman" w:hAnsi="Times New Roman" w:eastAsia="Times New Roman" w:cs="Times New Roman"/>
          <w:color w:val="000000"/>
        </w:rPr>
        <w:t xml:space="preserve">1as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1 × 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−18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，阿秒光脉冲是发光持续时间在阿秒量级的极短闪光，提供了阿秒量级的超快“光快门”，使探测原子内电子的动态过程成为可能。设有一个持续时间为</w:t>
      </w:r>
      <w:r>
        <w:rPr>
          <w:rFonts w:ascii="Times New Roman" w:hAnsi="Times New Roman" w:eastAsia="Times New Roman" w:cs="Times New Roman"/>
          <w:color w:val="000000"/>
        </w:rPr>
        <w:t>100as</w:t>
      </w:r>
      <w:r>
        <w:rPr>
          <w:rFonts w:ascii="宋体" w:hAnsi="宋体" w:eastAsia="宋体" w:cs="宋体"/>
          <w:color w:val="000000"/>
        </w:rPr>
        <w:t>的阿秒光脉冲，持续时间内至少包含一个完整的光波周期。取真空中光速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3.0 × 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，普朗克常量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6.6 × 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−34</w:t>
      </w:r>
      <w:r>
        <w:rPr>
          <w:rFonts w:ascii="Times New Roman" w:hAnsi="Times New Roman" w:eastAsia="Times New Roman" w:cs="Times New Roman"/>
          <w:color w:val="000000"/>
        </w:rPr>
        <w:t>J⋅s</w:t>
      </w:r>
      <w:r>
        <w:rPr>
          <w:rFonts w:ascii="宋体" w:hAnsi="宋体" w:eastAsia="宋体" w:cs="宋体"/>
          <w:color w:val="000000"/>
        </w:rPr>
        <w:t>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8DF0D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对于</w:t>
      </w:r>
      <w:r>
        <w:rPr>
          <w:rFonts w:ascii="Times New Roman" w:hAnsi="Times New Roman" w:eastAsia="Times New Roman" w:cs="Times New Roman"/>
          <w:color w:val="000000"/>
        </w:rPr>
        <w:t>0.1mm</w:t>
      </w:r>
      <w:r>
        <w:rPr>
          <w:rFonts w:ascii="宋体" w:hAnsi="宋体" w:eastAsia="宋体" w:cs="宋体"/>
          <w:color w:val="000000"/>
        </w:rPr>
        <w:t>宽的单缝，此阿秒光脉冲比波长为</w:t>
      </w:r>
      <w:r>
        <w:rPr>
          <w:rFonts w:ascii="Times New Roman" w:hAnsi="Times New Roman" w:eastAsia="Times New Roman" w:cs="Times New Roman"/>
          <w:color w:val="000000"/>
        </w:rPr>
        <w:t>550nm</w:t>
      </w:r>
      <w:r>
        <w:rPr>
          <w:rFonts w:ascii="宋体" w:hAnsi="宋体" w:eastAsia="宋体" w:cs="宋体"/>
          <w:color w:val="000000"/>
        </w:rPr>
        <w:t>的可见光的衍射现象更明显</w:t>
      </w:r>
    </w:p>
    <w:p w14:paraId="6941B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此阿秒光脉冲和波长为</w:t>
      </w:r>
      <w:r>
        <w:rPr>
          <w:rFonts w:ascii="Times New Roman" w:hAnsi="Times New Roman" w:eastAsia="Times New Roman" w:cs="Times New Roman"/>
          <w:color w:val="000000"/>
        </w:rPr>
        <w:t>550nm</w:t>
      </w:r>
      <w:r>
        <w:rPr>
          <w:rFonts w:ascii="宋体" w:hAnsi="宋体" w:eastAsia="宋体" w:cs="宋体"/>
          <w:color w:val="000000"/>
        </w:rPr>
        <w:t>的可见光束总能量相等时，阿秒光脉冲的光子数更多</w:t>
      </w:r>
    </w:p>
    <w:p w14:paraId="1B4E5E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此阿秒光脉冲可以使能量为</w:t>
      </w:r>
      <w:r>
        <w:rPr>
          <w:rFonts w:ascii="Times New Roman" w:hAnsi="Times New Roman" w:eastAsia="Times New Roman" w:cs="Times New Roman"/>
          <w:color w:val="000000"/>
        </w:rPr>
        <w:t>−13.6eV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−2.2 × 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−18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）的基态氢原子电离</w:t>
      </w:r>
    </w:p>
    <w:p w14:paraId="505D3B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为了探测原子内电子的动态过程，阿秒光脉冲的持续时间应大于电子的运动周期</w:t>
      </w:r>
    </w:p>
    <w:p w14:paraId="4C942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电荷量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、电压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、电流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和磁通量</w:t>
      </w:r>
      <w:r>
        <w:rPr>
          <w:rFonts w:ascii="Times New Roman" w:hAnsi="Times New Roman" w:eastAsia="Times New Roman" w:cs="Times New Roman"/>
          <w:i/>
          <w:color w:val="000000"/>
        </w:rPr>
        <w:t>Φ</w:t>
      </w:r>
      <w:r>
        <w:rPr>
          <w:rFonts w:ascii="宋体" w:hAnsi="宋体" w:eastAsia="宋体" w:cs="宋体"/>
          <w:color w:val="000000"/>
        </w:rPr>
        <w:t>是电磁学中重要的物理量，其中特定的两个物理量之比可用来描述电容器、电阻、电感三种电磁学元件的属性，如图所示。类似地，上世纪七十年代有科学家预言</w:t>
      </w:r>
      <w:r>
        <w:rPr>
          <w:rFonts w:ascii="Times New Roman" w:hAnsi="Times New Roman" w:eastAsia="Times New Roman" w:cs="Times New Roman"/>
          <w:i/>
          <w:color w:val="000000"/>
        </w:rPr>
        <w:t>Φ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之比可能也是一种电磁学元件的属性，并将此元件命名为“忆阻器”，近年来实验室已研制出了多种类型的“忆阻器”。由于“忆阻器”对电阻的记忆特性，其在信息存储、人工智能等领域具有广阔的应用前景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CB5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733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51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QU</w:t>
      </w:r>
      <w:r>
        <w:rPr>
          <w:rFonts w:ascii="宋体" w:hAnsi="宋体" w:eastAsia="宋体" w:cs="宋体"/>
          <w:color w:val="000000"/>
        </w:rPr>
        <w:t>的单位和</w:t>
      </w:r>
      <w:r>
        <w:rPr>
          <w:rFonts w:ascii="Times New Roman" w:hAnsi="Times New Roman" w:eastAsia="Times New Roman" w:cs="Times New Roman"/>
          <w:i/>
          <w:color w:val="000000"/>
        </w:rPr>
        <w:t>ΦI</w:t>
      </w:r>
      <w:r>
        <w:rPr>
          <w:rFonts w:ascii="宋体" w:hAnsi="宋体" w:eastAsia="宋体" w:cs="宋体"/>
          <w:color w:val="000000"/>
        </w:rPr>
        <w:t>的单位不同</w:t>
      </w:r>
    </w:p>
    <w:p w14:paraId="51A2A7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在国际单位制中，图中所定义的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的单位是欧姆</w:t>
      </w:r>
    </w:p>
    <w:p w14:paraId="5638F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可以用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1.25pt;width:14.95pt;" o:ole="t" filled="f" o:preferrelative="t" stroked="f" coordsize="21600,21600">
            <v:path/>
            <v:fill on="f" focussize="0,0"/>
            <v:stroke on="f" joinstyle="miter"/>
            <v:imagedata r:id="rId43" o:title="eqIdd08144db27e762140e6c7232771f67c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来描述物体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66794" name="图片 366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94" name="图片 3667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导电性质</w:t>
      </w:r>
    </w:p>
    <w:p w14:paraId="6A5DF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根据图中电感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的定义和法拉第电磁感应定律可以推导出自感电动势的表达式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45" o:title="eqIdc7879c80f63dd053d141c6b4864d6a8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</w:p>
    <w:p w14:paraId="5B1F7A4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536B2E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B9FB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某同学测量玻璃的折射率，作出了如图所示的光路图，测出了入射角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和折射角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，则此玻璃的折射率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90F5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1811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22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所示的实验装置探究影响感应电流方向的因素。如图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所示，分别把条形磁体的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极或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极插入、拔出螺线管，观察并标记感应电流的方向。</w:t>
      </w:r>
    </w:p>
    <w:p w14:paraId="73C21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50950"/>
            <wp:effectExtent l="0" t="0" r="0" b="635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51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CD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关于本实验，下列说法正确的是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（填选项前的字母）。</w:t>
      </w:r>
    </w:p>
    <w:p w14:paraId="6A8599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．需要记录感应电流的大小</w:t>
      </w:r>
    </w:p>
    <w:p w14:paraId="5A5479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．通过观察电流表指针的偏转方向确定感应电流的方向</w:t>
      </w:r>
    </w:p>
    <w:p w14:paraId="3CA726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中甲和乙表明，感应电流的方向与条形磁体的插入端是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极还是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极有关</w:t>
      </w:r>
    </w:p>
    <w:p w14:paraId="1D2CD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某兴趣小组利用铜片、锌片和橘子制作了水果电池，并用数字电压表（可视为理想电压表）和电阻箱测量水果电池的电动势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和内阻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，实验电路如图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所示。连接电路后，闭合开关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，多次调节电阻箱的阻值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，记录电压表的读数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，绘出图像，如图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所示，可得：该电池的电动势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，内阻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kΩ</w:t>
      </w:r>
      <w:r>
        <w:rPr>
          <w:rFonts w:ascii="宋体" w:hAnsi="宋体" w:eastAsia="宋体" w:cs="宋体"/>
          <w:color w:val="000000"/>
        </w:rPr>
        <w:t>。（结果保留两位有效数字）</w:t>
      </w:r>
    </w:p>
    <w:p w14:paraId="58E0D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20097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42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如图甲所示，让两个小球在斜槽末端碰撞来验证动量守恒定律。</w:t>
      </w:r>
    </w:p>
    <w:p w14:paraId="60AEE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3716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56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关于本实验，下列做法正确的是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（填选项前的字母）。</w:t>
      </w:r>
    </w:p>
    <w:p w14:paraId="30D32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实验前，调节装置，使斜槽末端水平</w:t>
      </w:r>
    </w:p>
    <w:p w14:paraId="106EF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选用两个半径不同的小球进行实验</w:t>
      </w:r>
    </w:p>
    <w:p w14:paraId="67A11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用质量大的小球碰撞质量小的小球</w:t>
      </w:r>
    </w:p>
    <w:p w14:paraId="6B3202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图甲中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点是小球抛出点在地面上的垂直投影，首先，将质量为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的小球从斜槽上的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位置由静止释放，小球落到复写纸上，重复多次。然后，把质量为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的被碰小球置于斜槽末端，再将质量为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的小球从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位置由静止释放，两球相碰，重复多次。分别确定平均落点，记为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单独滑落时的平均落点）。</w:t>
      </w:r>
    </w:p>
    <w:p w14:paraId="7E73B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90900" cy="7905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47C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．图乙为实验的落点记录，简要说明如何确定平均落点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4F97AC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．分别测出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点到平均落点的距离，记为</w:t>
      </w:r>
      <w:r>
        <w:rPr>
          <w:rFonts w:ascii="Times New Roman" w:hAnsi="Times New Roman" w:eastAsia="Times New Roman" w:cs="Times New Roman"/>
          <w:i/>
          <w:color w:val="000000"/>
        </w:rPr>
        <w:t>OP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OM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。在误差允许范围内，若关系式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成立，即可验证碰撞前后动量守恒。</w:t>
      </w:r>
    </w:p>
    <w:p w14:paraId="3DCFE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受上述实验的启发，某同学设计了另一种验证动量守恒定律的实验方案。如图丙所示，用两根不可伸长的等长轻绳将两个半径相同、质量不等的匀质小球悬挂于等高的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i/>
          <w:color w:val="000000"/>
        </w:rPr>
        <w:t>O′</w:t>
      </w:r>
      <w:r>
        <w:rPr>
          <w:rFonts w:ascii="宋体" w:hAnsi="宋体" w:eastAsia="宋体" w:cs="宋体"/>
          <w:color w:val="000000"/>
        </w:rPr>
        <w:t>点，两点间距等于小球的直径。将质量较小的小球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向左拉起至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点由静止释放，在最低点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与静止于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点的小球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发生正碰。碰后小球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向左反弹至最高点</w:t>
      </w:r>
      <w:r>
        <w:rPr>
          <w:rFonts w:ascii="Times New Roman" w:hAnsi="Times New Roman" w:eastAsia="Times New Roman" w:cs="Times New Roman"/>
          <w:i/>
          <w:color w:val="000000"/>
        </w:rPr>
        <w:t>A′</w:t>
      </w:r>
      <w:r>
        <w:rPr>
          <w:rFonts w:ascii="宋体" w:hAnsi="宋体" w:eastAsia="宋体" w:cs="宋体"/>
          <w:color w:val="000000"/>
        </w:rPr>
        <w:t>，小球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向右摆动至最高点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。测得小球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的质量分别为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，弦长</w:t>
      </w:r>
      <w:r>
        <w:rPr>
          <w:rFonts w:ascii="Times New Roman" w:hAnsi="Times New Roman" w:eastAsia="Times New Roman" w:cs="Times New Roman"/>
          <w:i/>
          <w:color w:val="000000"/>
        </w:rPr>
        <w:t>AB = l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A′B = 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CD = l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7FF3A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7430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400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推导说明，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满足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关系即可验证碰撞前后动量守恒。</w:t>
      </w:r>
    </w:p>
    <w:p w14:paraId="7FEC3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如图所示，水平放置的排水管满口排水，管口的横截面积为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，管口离水池水面的高度为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，水在水池中的落点与管口的水平距离为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。假定水在空中做平抛运动，已知重力加速度为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远大于管口内径。求：</w:t>
      </w:r>
    </w:p>
    <w:p w14:paraId="537FBE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）水从管口到水面的运动时间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；</w:t>
      </w:r>
    </w:p>
    <w:p w14:paraId="148676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）水从管口排出时的速度大小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53" o:title="eqId6f58888df91890a19a1aa7511d19703f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3826C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）管口单位时间内流出水的体积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。</w:t>
      </w:r>
    </w:p>
    <w:p w14:paraId="6C215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906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0F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如图甲所示为某种“电磁枪”的原理图。在竖直向下的匀强磁场中，两根相距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的平行长直金属导轨水平放置，左端接电容为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的电容器，一导体棒放置在导轨上，与导轨垂直且接触良好，不计导轨电阻及导体棒与导轨间的摩擦。已知磁场的磁感应强度大小为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，导体棒的质量为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、接入电路的电阻为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。开关闭合前电容器的电荷量为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。</w:t>
      </w:r>
    </w:p>
    <w:p w14:paraId="467B46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）求闭合开关瞬间通过导体棒的电流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；</w:t>
      </w:r>
    </w:p>
    <w:p w14:paraId="78491E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）求闭合开关瞬间导体棒的加速度大小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0BF457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）在图乙中定性画出闭合开关后导体棒的速度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的变化图线。</w:t>
      </w:r>
    </w:p>
    <w:p w14:paraId="2FDAC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8667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885825" cy="10287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40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科学家根据天文观测提出宇宙膨胀模型：在宇宙大尺度上，所有的宇宙物质（星体等）在做彼此远离运动，且质量始终均匀分布，在宇宙中所有位置观测的结果都一样。以某一点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为观测点，以质量为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的小星体（记为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）为观测对象。当前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58" o:title="eqIda2833ddbe58a6f4e7585c69c698f0d2a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，宇宙的密度为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0" o:title="eqId92e2554579f1bed7f3f42b873da9b43a"/>
            <o:lock v:ext="edit" aspectratio="t"/>
            <w10:wrap type="none"/>
            <w10:anchorlock/>
          </v:shape>
          <o:OLEObject Type="Embed" ProgID="Equation.DSMT4" ShapeID="_x0000_i1040" DrawAspect="Content" ObjectID="_146807574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7871C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）求小星体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远离到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7.5pt;" o:ole="t" filled="f" o:preferrelative="t" stroked="f" coordsize="21600,21600">
            <v:path/>
            <v:fill on="f" focussize="0,0"/>
            <v:stroke on="f" joinstyle="miter"/>
            <v:imagedata r:id="rId62" o:title="eqId95702be2c7eafde815c03806a60b03c0"/>
            <o:lock v:ext="edit" aspectratio="t"/>
            <w10:wrap type="none"/>
            <w10:anchorlock/>
          </v:shape>
          <o:OLEObject Type="Embed" ProgID="Equation.DSMT4" ShapeID="_x0000_i1041" DrawAspect="Content" ObjectID="_146807574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处时宇宙的密度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</w:rPr>
        <w:t>；</w:t>
      </w:r>
    </w:p>
    <w:p w14:paraId="1025AA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点为球心，以小星体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66788" name="图片 366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88" name="图片 3667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距离为半径建立球面。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受到的万有引力相当于球内质量集中于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的引力。已知质量为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64" o:title="eqId77ab1256702aef4e9f1a5eb6c12ecc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66" o:title="eqId1fbd67f60f04c278bdd867fdb3979dfb"/>
            <o:lock v:ext="edit" aspectratio="t"/>
            <w10:wrap type="none"/>
            <w10:anchorlock/>
          </v:shape>
          <o:OLEObject Type="Embed" ProgID="Equation.DSMT4" ShapeID="_x0000_i1043" DrawAspect="Content" ObjectID="_146807574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、距离为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的两个质点间的引力势能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0.85pt;width:72pt;" o:ole="t" filled="f" o:preferrelative="t" stroked="f" coordsize="21600,21600">
            <v:path/>
            <v:fill on="f" focussize="0,0"/>
            <v:stroke on="f" joinstyle="miter"/>
            <v:imagedata r:id="rId68" o:title="eqIdc26f686a456877ffdd8cb12acb8fe439"/>
            <o:lock v:ext="edit" aspectratio="t"/>
            <w10:wrap type="none"/>
            <w10:anchorlock/>
          </v:shape>
          <o:OLEObject Type="Embed" ProgID="Equation.DSMT4" ShapeID="_x0000_i1044" DrawAspect="Content" ObjectID="_1468075744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为引力常量。仅考虑万有引力和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远离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点的径向运动。</w:t>
      </w:r>
    </w:p>
    <w:p w14:paraId="371F9E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．求小星体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58" o:title="eqIda2833ddbe58a6f4e7585c69c698f0d2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处远离到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7.5pt;" o:ole="t" filled="f" o:preferrelative="t" stroked="f" coordsize="21600,21600">
            <v:path/>
            <v:fill on="f" focussize="0,0"/>
            <v:stroke on="f" joinstyle="miter"/>
            <v:imagedata r:id="rId62" o:title="eqId95702be2c7eafde815c03806a60b03c0"/>
            <o:lock v:ext="edit" aspectratio="t"/>
            <w10:wrap type="none"/>
            <w10:anchorlock/>
          </v:shape>
          <o:OLEObject Type="Embed" ProgID="Equation.DSMT4" ShapeID="_x0000_i1046" DrawAspect="Content" ObjectID="_146807574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。处的过程中动能的变化量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7.9pt;width:22.05pt;" o:ole="t" filled="f" o:preferrelative="t" stroked="f" coordsize="21600,21600">
            <v:path/>
            <v:fill on="f" focussize="0,0"/>
            <v:stroke on="f" joinstyle="miter"/>
            <v:imagedata r:id="rId72" o:title="eqId6bbeba2bcfec8cf10840c48925694cef"/>
            <o:lock v:ext="edit" aspectratio="t"/>
            <w10:wrap type="none"/>
            <w10:anchorlock/>
          </v:shape>
          <o:OLEObject Type="Embed" ProgID="Equation.DSMT4" ShapeID="_x0000_i1047" DrawAspect="Content" ObjectID="_146807574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5D719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．宇宙中各星体远离观测点的速率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满足哈勃定律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4" o:title="eqId59afdc96a3110b7f93d7f5cdb8d0b7f1"/>
            <o:lock v:ext="edit" aspectratio="t"/>
            <w10:wrap type="none"/>
            <w10:anchorlock/>
          </v:shape>
          <o:OLEObject Type="Embed" ProgID="Equation.DSMT4" ShapeID="_x0000_i1048" DrawAspect="Content" ObjectID="_1468075748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为星体到观测点的距离，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为哈勃系数。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有关但与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无关，分析说明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增大还是减小。</w:t>
      </w:r>
    </w:p>
    <w:p w14:paraId="02F56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我国“天宫”空间站采用霍尔推进器控制姿态和修正轨道。图为某种霍尔推进器的放电室（两个半径接近的同轴圆筒间的区域）的示意图。放电室的左、右两端分别为阳极和阴极，间距为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。</w:t>
      </w:r>
      <w:r>
        <w:rPr>
          <w:rFonts w:ascii="宋体" w:hAnsi="宋体" w:eastAsia="宋体" w:cs="宋体"/>
          <w:color w:val="000000"/>
        </w:rPr>
        <w:t>阴极发射电子，一部分电子进入放电室，另一部分未进入。稳定运行时，可视为放电室内有方向沿轴向向右的匀强电场和匀强磁场，电场强度和磁感应强度大小分别为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6" o:title="eqId97c01fdc7bc471af0b264a04aef0823e"/>
            <o:lock v:ext="edit" aspectratio="t"/>
            <w10:wrap type="none"/>
            <w10:anchorlock/>
          </v:shape>
          <o:OLEObject Type="Embed" ProgID="Equation.DSMT4" ShapeID="_x0000_i1049" DrawAspect="Content" ObjectID="_1468075749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；还有方向沿半径向外的径向磁场，大小处处相等。放电室内的大量电子可视为处于阳极附近，在垂直于轴线的平面绕轴线做半径为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的匀速圆周运动（如截面图所示），可与左端注入的氙原子碰撞并使其电离。每个氙离子的质量为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pt;width:16.2pt;" o:ole="t" filled="f" o:preferrelative="t" stroked="f" coordsize="21600,21600">
            <v:path/>
            <v:fill on="f" focussize="0,0"/>
            <v:stroke on="f" joinstyle="miter"/>
            <v:imagedata r:id="rId78" o:title="eqIdf1d2cb112ba3b1b933e03206963163b9"/>
            <o:lock v:ext="edit" aspectratio="t"/>
            <w10:wrap type="none"/>
            <w10:anchorlock/>
          </v:shape>
          <o:OLEObject Type="Embed" ProgID="Equation.DSMT4" ShapeID="_x0000_i1050" DrawAspect="Content" ObjectID="_1468075750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，初速度近似为零。氙离子经过电场加速，最终从放电室右端喷出，与阴极发射的未进入放电室的电子刚好完全中和。</w:t>
      </w:r>
    </w:p>
    <w:p w14:paraId="66F3BA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已知电子的质量为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1.25pt;width:15.75pt;" o:ole="t" filled="f" o:preferrelative="t" stroked="f" coordsize="21600,21600">
            <v:path/>
            <v:fill on="f" focussize="0,0"/>
            <v:stroke on="f" joinstyle="miter"/>
            <v:imagedata r:id="rId80" o:title="eqId409eb3f8c7654e0bf87c56eabeca6f3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；对于氙离子，仅考虑电场的作用。</w:t>
      </w:r>
    </w:p>
    <w:p w14:paraId="5A368E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）求氙离子在放电室内运动的加速度大小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629D6B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）求径向磁场的磁感应强度大小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2" o:title="eqId43a71fc9c0068109dad1382354570665"/>
            <o:lock v:ext="edit" aspectratio="t"/>
            <w10:wrap type="none"/>
            <w10:anchorlock/>
          </v:shape>
          <o:OLEObject Type="Embed" ProgID="Equation.DSMT4" ShapeID="_x0000_i1052" DrawAspect="Content" ObjectID="_1468075752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F184B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）设被电离的氙原子数和进入放电室的电子数之比为常数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，单位时间内阴极发射的电子总数为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，求此霍尔推进器获得的推力大小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。</w:t>
      </w:r>
    </w:p>
    <w:p w14:paraId="0215F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1524000"/>
            <wp:effectExtent l="0" t="0" r="9525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18F2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819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0785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2295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59F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57BF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AAB5CB6"/>
    <w:rsid w:val="4BBF02AB"/>
    <w:rsid w:val="61D9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media/image46.png"/><Relationship Id="rId82" Type="http://schemas.openxmlformats.org/officeDocument/2006/relationships/image" Target="media/image45.wmf"/><Relationship Id="rId81" Type="http://schemas.openxmlformats.org/officeDocument/2006/relationships/oleObject" Target="embeddings/oleObject28.bin"/><Relationship Id="rId80" Type="http://schemas.openxmlformats.org/officeDocument/2006/relationships/image" Target="media/image44.wmf"/><Relationship Id="rId8" Type="http://schemas.openxmlformats.org/officeDocument/2006/relationships/footer" Target="footer3.xml"/><Relationship Id="rId79" Type="http://schemas.openxmlformats.org/officeDocument/2006/relationships/oleObject" Target="embeddings/oleObject27.bin"/><Relationship Id="rId78" Type="http://schemas.openxmlformats.org/officeDocument/2006/relationships/image" Target="media/image43.wmf"/><Relationship Id="rId77" Type="http://schemas.openxmlformats.org/officeDocument/2006/relationships/oleObject" Target="embeddings/oleObject26.bin"/><Relationship Id="rId76" Type="http://schemas.openxmlformats.org/officeDocument/2006/relationships/image" Target="media/image42.wmf"/><Relationship Id="rId75" Type="http://schemas.openxmlformats.org/officeDocument/2006/relationships/oleObject" Target="embeddings/oleObject25.bin"/><Relationship Id="rId74" Type="http://schemas.openxmlformats.org/officeDocument/2006/relationships/image" Target="media/image41.wmf"/><Relationship Id="rId73" Type="http://schemas.openxmlformats.org/officeDocument/2006/relationships/oleObject" Target="embeddings/oleObject24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3.bin"/><Relationship Id="rId70" Type="http://schemas.openxmlformats.org/officeDocument/2006/relationships/oleObject" Target="embeddings/oleObject22.bin"/><Relationship Id="rId7" Type="http://schemas.openxmlformats.org/officeDocument/2006/relationships/footer" Target="footer2.xml"/><Relationship Id="rId69" Type="http://schemas.openxmlformats.org/officeDocument/2006/relationships/oleObject" Target="embeddings/oleObject21.bin"/><Relationship Id="rId68" Type="http://schemas.openxmlformats.org/officeDocument/2006/relationships/image" Target="media/image39.wmf"/><Relationship Id="rId67" Type="http://schemas.openxmlformats.org/officeDocument/2006/relationships/oleObject" Target="embeddings/oleObject20.bin"/><Relationship Id="rId66" Type="http://schemas.openxmlformats.org/officeDocument/2006/relationships/image" Target="media/image38.wmf"/><Relationship Id="rId65" Type="http://schemas.openxmlformats.org/officeDocument/2006/relationships/oleObject" Target="embeddings/oleObject19.bin"/><Relationship Id="rId64" Type="http://schemas.openxmlformats.org/officeDocument/2006/relationships/image" Target="media/image37.wmf"/><Relationship Id="rId63" Type="http://schemas.openxmlformats.org/officeDocument/2006/relationships/oleObject" Target="embeddings/oleObject18.bin"/><Relationship Id="rId62" Type="http://schemas.openxmlformats.org/officeDocument/2006/relationships/image" Target="media/image36.wmf"/><Relationship Id="rId61" Type="http://schemas.openxmlformats.org/officeDocument/2006/relationships/oleObject" Target="embeddings/oleObject17.bin"/><Relationship Id="rId60" Type="http://schemas.openxmlformats.org/officeDocument/2006/relationships/image" Target="media/image35.wmf"/><Relationship Id="rId6" Type="http://schemas.openxmlformats.org/officeDocument/2006/relationships/footer" Target="footer1.xml"/><Relationship Id="rId59" Type="http://schemas.openxmlformats.org/officeDocument/2006/relationships/oleObject" Target="embeddings/oleObject16.bin"/><Relationship Id="rId58" Type="http://schemas.openxmlformats.org/officeDocument/2006/relationships/image" Target="media/image34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png"/><Relationship Id="rId50" Type="http://schemas.openxmlformats.org/officeDocument/2006/relationships/image" Target="media/image28.png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4222</Words>
  <Characters>4485</Characters>
  <Lines>0</Lines>
  <Paragraphs>0</Paragraphs>
  <TotalTime>0</TotalTime>
  <ScaleCrop>false</ScaleCrop>
  <LinksUpToDate>false</LinksUpToDate>
  <CharactersWithSpaces>4640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D64CD5986926401FB5F6F1D91CAB5369_12</vt:lpwstr>
  </property>
</Properties>
</file>