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D4CD507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2" o:spid="_x0000_s1028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3" o:spid="_x0000_s1029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4" o:spid="_x0000_s1030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5" o:spid="_x0000_s1031" o:spt="75" type="#_x0000_t75" style="position:absolute;left:0pt;margin-left:53pt;margin-top:140.85pt;height:146.85pt;width:208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pict>
          <v:shape id="_x00006" o:spid="_x0000_s1032" o:spt="75" type="#_x0000_t75" style="position:absolute;left:0pt;margin-left:311.85pt;margin-top:297.7pt;height:35.75pt;width:38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pict>
          <v:shape id="_x00007" o:spid="_x0000_s1033" o:spt="75" type="#_x0000_t75" style="position:absolute;left:0pt;margin-left:434.2pt;margin-top:299.2pt;height:33.5pt;width:30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" o:title=""/>
            <o:lock v:ext="edit" aspectratio="t"/>
          </v:shape>
        </w:pict>
      </w:r>
      <w:r>
        <w:pict>
          <v:shape id="_x00008" o:spid="_x0000_s1034" o:spt="75" type="#_x0000_t75" style="position:absolute;left:0pt;margin-left:63.5pt;margin-top:462pt;height:20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pict>
          <v:shape id="_x00009" o:spid="_x0000_s1035" o:spt="75" type="#_x0000_t75" style="position:absolute;left:0pt;margin-left:74.05pt;margin-top:494.25pt;height:18.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pict>
          <v:shape id="_x000010" o:spid="_x0000_s1036" o:spt="75" type="#_x0000_t75" style="position:absolute;left:0pt;margin-left:53pt;margin-top:524.25pt;height:129.6pt;width:200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9" o:title=""/>
            <o:lock v:ext="edit" aspectratio="t"/>
          </v:shape>
        </w:pict>
      </w:r>
      <w:r>
        <w:pict>
          <v:shape id="_x000011" o:spid="_x0000_s1037" o:spt="75" type="#_x0000_t75" style="position:absolute;left:0pt;margin-left:461.2pt;margin-top:660.15pt;height:29.75pt;width:1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0" o:title=""/>
            <o:lock v:ext="edit" aspectratio="t"/>
          </v:shape>
        </w:pict>
      </w:r>
      <w:r>
        <w:pict>
          <v:shape id="_x000012" o:spid="_x0000_s1038" o:spt="75" type="#_x0000_t75" style="position:absolute;left:0pt;margin-left:213.6pt;margin-top:696.15pt;height:35pt;width:23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1" o:title=""/>
            <o:lock v:ext="edit" aspectratio="t"/>
          </v:shape>
        </w:pict>
      </w:r>
      <w:r>
        <w:pict>
          <v:shape id="_x000013" o:spid="_x0000_s1039" o:spt="75" type="#_x0000_t75" style="position:absolute;left:0pt;margin-left:457.45pt;margin-top:696.15pt;height:35pt;width:24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14" o:spid="_x0000_s1040" o:spt="75" type="#_x0000_t75" style="position:absolute;left:0pt;margin-left:300.6pt;margin-top:741.95pt;height:14pt;width:11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3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现代生产生活中常用无人机运送物品，如图所示，无人机携带质量为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的匀质钢管在无风的空中悬停，</w:t>
      </w:r>
    </w:p>
    <w:p w14:paraId="16AD2C0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轻绳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1"/>
          <w:sz w:val="21"/>
        </w:rPr>
        <w:t>端和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1"/>
          <w:sz w:val="21"/>
        </w:rPr>
        <w:t>端系住钢管，轻绳中点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2"/>
          <w:sz w:val="21"/>
        </w:rPr>
        <w:t>通过缆绳与无人机连接。</w:t>
      </w:r>
      <w:r>
        <w:rPr>
          <w:rFonts w:ascii="Times New Roman"/>
          <w:i/>
          <w:color w:val="000000"/>
          <w:spacing w:val="0"/>
          <w:sz w:val="21"/>
        </w:rPr>
        <w:t>MO</w:t>
      </w:r>
      <w:r>
        <w:rPr>
          <w:rFonts w:ascii="宋体" w:hAnsi="宋体" w:cs="宋体"/>
          <w:color w:val="000000"/>
          <w:spacing w:val="2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NO </w:t>
      </w:r>
      <w:r>
        <w:rPr>
          <w:rFonts w:ascii="宋体" w:hAnsi="宋体" w:cs="宋体"/>
          <w:color w:val="000000"/>
          <w:spacing w:val="1"/>
          <w:sz w:val="21"/>
        </w:rPr>
        <w:t>与竖直方向的夹角均为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60</w:t>
      </w:r>
      <w:r>
        <w:rPr>
          <w:rFonts w:ascii="宋体" w:hAnsi="宋体" w:cs="宋体"/>
          <w:color w:val="000000"/>
          <w:spacing w:val="0"/>
          <w:sz w:val="21"/>
        </w:rPr>
        <w:t>°，</w:t>
      </w:r>
    </w:p>
    <w:p w14:paraId="28B3757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钢管水平。则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MO </w:t>
      </w:r>
      <w:r>
        <w:rPr>
          <w:rFonts w:ascii="宋体" w:hAnsi="宋体" w:cs="宋体"/>
          <w:color w:val="000000"/>
          <w:spacing w:val="0"/>
          <w:sz w:val="21"/>
        </w:rPr>
        <w:t>的弹力大小为（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-13"/>
          <w:sz w:val="21"/>
        </w:rPr>
        <w:t>）（重力加速度为</w:t>
      </w:r>
      <w:r>
        <w:rPr>
          <w:rFonts w:ascii="Times New Roman"/>
          <w:color w:val="000000"/>
          <w:spacing w:val="1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2FD8C59">
      <w:pPr>
        <w:spacing w:before="358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2</w:t>
      </w:r>
      <w:r>
        <w:rPr>
          <w:rFonts w:ascii="Times New Roman"/>
          <w:i/>
          <w:color w:val="000000"/>
          <w:spacing w:val="0"/>
          <w:sz w:val="21"/>
        </w:rPr>
        <w:t>mg</w:t>
      </w:r>
      <w:r>
        <w:rPr>
          <w:rFonts w:ascii="Times New Roman"/>
          <w:i/>
          <w:color w:val="000000"/>
          <w:spacing w:val="176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Times New Roman"/>
          <w:i/>
          <w:color w:val="000000"/>
          <w:spacing w:val="0"/>
          <w:sz w:val="21"/>
        </w:rPr>
        <w:t>mg</w:t>
      </w:r>
      <w:r>
        <w:rPr>
          <w:rFonts w:ascii="Times New Roman"/>
          <w:i/>
          <w:color w:val="000000"/>
          <w:spacing w:val="18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21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2283AFC9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易碎物品运输中常采用缓冲气袋减小运输中冲击。若某次撞击过程中，气袋被压缩（无破损），不计袋内</w:t>
      </w:r>
    </w:p>
    <w:p w14:paraId="068ADA6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气体与外界的热交换，则该过程中袋内气体（视为理想气体）（</w:t>
      </w:r>
      <w:r>
        <w:rPr>
          <w:rFonts w:ascii="Times New Roman"/>
          <w:color w:val="000000"/>
          <w:spacing w:val="3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682A0A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分子热运动的平均动能增加</w:t>
      </w:r>
      <w:r>
        <w:rPr>
          <w:rFonts w:ascii="Times New Roman"/>
          <w:color w:val="000000"/>
          <w:spacing w:val="19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内能减小</w:t>
      </w:r>
    </w:p>
    <w:p w14:paraId="6BB89E2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压强减小</w:t>
      </w:r>
      <w:r>
        <w:rPr>
          <w:rFonts w:ascii="Times New Roman"/>
          <w:color w:val="000000"/>
          <w:spacing w:val="36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对外界做正功</w:t>
      </w:r>
    </w:p>
    <w:p w14:paraId="457C4DC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3. 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魔幻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-2"/>
          <w:sz w:val="21"/>
        </w:rPr>
        <w:t>重庆的立体交通屋叠交错，小明选取其中两条线探究车辆的运动。如图所示，轻轨列车与汽车以速</w:t>
      </w:r>
    </w:p>
    <w:p w14:paraId="6B43D0B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度</w:t>
      </w:r>
      <w:r>
        <w:rPr>
          <w:rFonts w:ascii="Times New Roman"/>
          <w:color w:val="000000"/>
          <w:spacing w:val="331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分别从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2"/>
          <w:sz w:val="21"/>
        </w:rPr>
        <w:t>向左同时出发，列车做匀速直线运动，汽车在长为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s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NO </w:t>
      </w:r>
      <w:r>
        <w:rPr>
          <w:rFonts w:ascii="宋体" w:hAnsi="宋体" w:cs="宋体"/>
          <w:color w:val="000000"/>
          <w:spacing w:val="2"/>
          <w:sz w:val="21"/>
        </w:rPr>
        <w:t>段做匀减速直线运动并以</w:t>
      </w:r>
    </w:p>
    <w:p w14:paraId="057612F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速度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进入半经为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OP </w:t>
      </w:r>
      <w:r>
        <w:rPr>
          <w:rFonts w:ascii="宋体" w:hAnsi="宋体" w:cs="宋体"/>
          <w:color w:val="000000"/>
          <w:spacing w:val="0"/>
          <w:sz w:val="21"/>
        </w:rPr>
        <w:t>圆孤段做匀速图周运动。两车均视为质点，则（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86B7A8B">
      <w:pPr>
        <w:spacing w:before="31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汽车到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点时，列车行驶距离为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s</w:t>
      </w:r>
      <w:r>
        <w:rPr>
          <w:rFonts w:ascii="Times New Roman"/>
          <w:i/>
          <w:color w:val="000000"/>
          <w:spacing w:val="139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汽车到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点时，列车行驶距离为</w:t>
      </w:r>
    </w:p>
    <w:p w14:paraId="7B66B46E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汽车在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OP </w:t>
      </w:r>
      <w:r>
        <w:rPr>
          <w:rFonts w:ascii="宋体" w:hAnsi="宋体" w:cs="宋体"/>
          <w:color w:val="000000"/>
          <w:spacing w:val="0"/>
          <w:sz w:val="21"/>
        </w:rPr>
        <w:t>段向心加速度大小为</w:t>
      </w:r>
      <w:r>
        <w:rPr>
          <w:rFonts w:ascii="Times New Roman"/>
          <w:color w:val="000000"/>
          <w:spacing w:val="16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汽车在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OP </w:t>
      </w:r>
      <w:r>
        <w:rPr>
          <w:rFonts w:ascii="宋体" w:hAnsi="宋体" w:cs="宋体"/>
          <w:color w:val="000000"/>
          <w:spacing w:val="0"/>
          <w:sz w:val="21"/>
        </w:rPr>
        <w:t>段向心加速度大小为</w:t>
      </w:r>
    </w:p>
    <w:p w14:paraId="2C1C4F49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杨氏双缝干涉实验中，双缝与光屏距离为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-6"/>
          <w:sz w:val="21"/>
        </w:rPr>
        <w:t>，波长为</w:t>
      </w:r>
      <w:r>
        <w:rPr>
          <w:rFonts w:ascii="Times New Roman"/>
          <w:color w:val="000000"/>
          <w:spacing w:val="149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的激光垂直入射到双缝上，在屏上出现如图所示的</w:t>
      </w:r>
    </w:p>
    <w:p w14:paraId="1F016453">
      <w:pPr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711E68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20095F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6BA15FA">
      <w:pPr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4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F260A3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0" w:name="_GoBack"/>
      <w:bookmarkEnd w:id="0"/>
    </w:p>
    <w:p w14:paraId="441F13B0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7" o:spid="_x0000_s1043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8" o:spid="_x0000_s1044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19" o:spid="_x0000_s1045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20" o:spid="_x0000_s1046" o:spt="75" type="#_x0000_t75" style="position:absolute;left:0pt;margin-left:53pt;margin-top:92.05pt;height:134.85pt;width:170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4" o:title=""/>
            <o:lock v:ext="edit" aspectratio="t"/>
          </v:shape>
        </w:pict>
      </w:r>
      <w:r>
        <w:pict>
          <v:shape id="_x000021" o:spid="_x0000_s1047" o:spt="75" type="#_x0000_t75" style="position:absolute;left:0pt;margin-left:163.3pt;margin-top:229.35pt;height:32.75pt;width:1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5" o:title=""/>
            <o:lock v:ext="edit" aspectratio="t"/>
          </v:shape>
        </w:pict>
      </w:r>
      <w:r>
        <w:pict>
          <v:shape id="_x000022" o:spid="_x0000_s1048" o:spt="75" type="#_x0000_t75" style="position:absolute;left:0pt;margin-left:406.35pt;margin-top:229.35pt;height:32.75pt;width:1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5" o:title=""/>
            <o:lock v:ext="edit" aspectratio="t"/>
          </v:shape>
        </w:pict>
      </w:r>
      <w:r>
        <w:pict>
          <v:shape id="_x000023" o:spid="_x0000_s1049" o:spt="75" type="#_x0000_t75" style="position:absolute;left:0pt;margin-left:152.05pt;margin-top:267.6pt;height:33.5pt;width:2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6" o:title=""/>
            <o:lock v:ext="edit" aspectratio="t"/>
          </v:shape>
        </w:pict>
      </w:r>
      <w:r>
        <w:pict>
          <v:shape id="_x000024" o:spid="_x0000_s1050" o:spt="75" type="#_x0000_t75" style="position:absolute;left:0pt;margin-left:395.85pt;margin-top:267.6pt;height:33.5pt;width:2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7" o:title=""/>
            <o:lock v:ext="edit" aspectratio="t"/>
          </v:shape>
        </w:pict>
      </w:r>
      <w:r>
        <w:pict>
          <v:shape id="_x000025" o:spid="_x0000_s1051" o:spt="75" type="#_x0000_t75" style="position:absolute;left:0pt;margin-left:53pt;margin-top:402pt;height:77.8pt;width:137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8" o:title=""/>
            <o:lock v:ext="edit" aspectratio="t"/>
          </v:shape>
        </w:pict>
      </w:r>
      <w:r>
        <w:pict>
          <v:shape id="_x000026" o:spid="_x0000_s1052" o:spt="75" type="#_x0000_t75" style="position:absolute;left:0pt;margin-left:175.3pt;margin-top:553.55pt;height:16.25pt;width:22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9" o:title=""/>
            <o:lock v:ext="edit" aspectratio="t"/>
          </v:shape>
        </w:pict>
      </w:r>
      <w:r>
        <w:pict>
          <v:shape id="_x000027" o:spid="_x0000_s1053" o:spt="75" type="#_x0000_t75" style="position:absolute;left:0pt;margin-left:318.6pt;margin-top:576.8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0" o:title=""/>
            <o:lock v:ext="edit" aspectratio="t"/>
          </v:shape>
        </w:pict>
      </w:r>
      <w:r>
        <w:pict>
          <v:shape id="_x000028" o:spid="_x0000_s1054" o:spt="75" type="#_x0000_t75" style="position:absolute;left:0pt;margin-left:89.8pt;margin-top:627.8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0" o:title=""/>
            <o:lock v:ext="edit" aspectratio="t"/>
          </v:shape>
        </w:pict>
      </w:r>
      <w:r>
        <w:pict>
          <v:shape id="_x000029" o:spid="_x0000_s1055" o:spt="75" type="#_x0000_t75" style="position:absolute;left:0pt;margin-left:131.8pt;margin-top:619.55pt;height:32.75pt;width:19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1" o:title=""/>
            <o:lock v:ext="edit" aspectratio="t"/>
          </v:shape>
        </w:pict>
      </w:r>
      <w:r>
        <w:pict>
          <v:shape id="_x000030" o:spid="_x0000_s1056" o:spt="75" type="#_x0000_t75" style="position:absolute;left:0pt;margin-left:204.6pt;margin-top:650.4pt;height:32.75pt;width:17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2" o:title=""/>
            <o:lock v:ext="edit" aspectratio="t"/>
          </v:shape>
        </w:pict>
      </w:r>
      <w:r>
        <w:pict>
          <v:shape id="_x000031" o:spid="_x0000_s1057" o:spt="75" type="#_x0000_t75" style="position:absolute;left:0pt;margin-left:225.6pt;margin-top:688.65pt;height:35pt;width:14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干涉图样。某同学在光屏上标记两条亮纹中心位置并测其间距为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，则（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3227180">
      <w:pPr>
        <w:spacing w:before="311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相邻两亮条纹间距为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相邻两暗条纹间距为</w:t>
      </w:r>
    </w:p>
    <w:p w14:paraId="1F8D2445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双缝之间的距离为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双缝之间的距离为</w:t>
      </w:r>
    </w:p>
    <w:p w14:paraId="426969E2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某兴趣小组用人工智能模拟带电粒子在电场中的运动，如图所示的矩形区域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OMPQ </w:t>
      </w:r>
      <w:r>
        <w:rPr>
          <w:rFonts w:ascii="宋体" w:hAnsi="宋体" w:cs="宋体"/>
          <w:color w:val="000000"/>
          <w:spacing w:val="0"/>
          <w:sz w:val="21"/>
        </w:rPr>
        <w:t>内分布有平行于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OQ</w:t>
      </w:r>
    </w:p>
    <w:p w14:paraId="296EC98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的匀强电场，</w:t>
      </w:r>
      <w:r>
        <w:rPr>
          <w:rFonts w:ascii="Times New Roman"/>
          <w:i/>
          <w:color w:val="000000"/>
          <w:spacing w:val="0"/>
          <w:sz w:val="21"/>
        </w:rPr>
        <w:t>N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QP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的中点。模拟动画显示，带电粒子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7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分别从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点和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点垂直于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OQ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同时进入电场，</w:t>
      </w:r>
    </w:p>
    <w:p w14:paraId="5316515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沿图中所示轨迹同时到达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点，</w:t>
      </w:r>
      <w:r>
        <w:rPr>
          <w:rFonts w:ascii="Times New Roman"/>
          <w:i/>
          <w:color w:val="000000"/>
          <w:spacing w:val="0"/>
          <w:sz w:val="21"/>
        </w:rPr>
        <w:t xml:space="preserve">K </w:t>
      </w:r>
      <w:r>
        <w:rPr>
          <w:rFonts w:ascii="宋体" w:hAnsi="宋体" w:cs="宋体"/>
          <w:color w:val="000000"/>
          <w:spacing w:val="0"/>
          <w:sz w:val="21"/>
        </w:rPr>
        <w:t>为轨迹交点。忽略粒子所受重力和粒子间的相互作用，则可推断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、</w:t>
      </w:r>
    </w:p>
    <w:p w14:paraId="08EE60A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6E84F62">
      <w:pPr>
        <w:spacing w:before="17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具有不同比荷</w:t>
      </w:r>
    </w:p>
    <w:p w14:paraId="6843BD5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电势能均随时间逐渐增大</w:t>
      </w:r>
    </w:p>
    <w:p w14:paraId="15363D7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到达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的速度大小相等</w:t>
      </w:r>
    </w:p>
    <w:p w14:paraId="512B74F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到达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K </w:t>
      </w:r>
      <w:r>
        <w:rPr>
          <w:rFonts w:ascii="宋体" w:hAnsi="宋体" w:cs="宋体"/>
          <w:color w:val="000000"/>
          <w:spacing w:val="0"/>
          <w:sz w:val="21"/>
        </w:rPr>
        <w:t>所用时间之比为</w:t>
      </w:r>
    </w:p>
    <w:p w14:paraId="3E80317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在科学实验中可利用激光使原子减速，若一个处于基态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原子朝某方向运动，吸收一个沿相反方向运动</w:t>
      </w:r>
    </w:p>
    <w:p w14:paraId="6346C74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的能量为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E</w:t>
      </w:r>
      <w:r>
        <w:rPr>
          <w:rFonts w:ascii="Times New Roman"/>
          <w:i/>
          <w:color w:val="000000"/>
          <w:spacing w:val="-7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的光子后跃迁到相邻激发态，原子速度减小，动量变为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宋体" w:hAnsi="宋体" w:cs="宋体"/>
          <w:color w:val="000000"/>
          <w:spacing w:val="-4"/>
          <w:sz w:val="21"/>
        </w:rPr>
        <w:t>。普朗克常量为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h</w:t>
      </w:r>
      <w:r>
        <w:rPr>
          <w:rFonts w:ascii="宋体" w:hAnsi="宋体" w:cs="宋体"/>
          <w:color w:val="000000"/>
          <w:spacing w:val="-7"/>
          <w:sz w:val="21"/>
        </w:rPr>
        <w:t>，光速为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-29"/>
          <w:sz w:val="21"/>
        </w:rPr>
        <w:t>，则（</w:t>
      </w:r>
      <w:r>
        <w:rPr>
          <w:rFonts w:ascii="Times New Roman"/>
          <w:color w:val="000000"/>
          <w:spacing w:val="39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88490E0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光子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波长为</w:t>
      </w:r>
    </w:p>
    <w:p w14:paraId="2B244425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该原子吸收光子后质量减少了</w:t>
      </w:r>
    </w:p>
    <w:p w14:paraId="2F5C2C4B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该原子吸收光子后德布罗意波长为</w:t>
      </w:r>
    </w:p>
    <w:p w14:paraId="787FAD03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一个波长更长的光子也能使该基态原子跃迁到激发态</w:t>
      </w:r>
    </w:p>
    <w:p w14:paraId="6FF3AFC2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C6F570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7C3785B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C78B28E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34" o:spid="_x0000_s1060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35" o:spid="_x0000_s1061" o:spt="75" type="#_x0000_t75" style="position:absolute;left:0pt;margin-left:53pt;margin-top:437.25pt;height:85.3pt;width:166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4" o:title=""/>
            <o:lock v:ext="edit" aspectratio="t"/>
          </v:shape>
        </w:pict>
      </w:r>
      <w:r>
        <w:pict>
          <v:shape id="_x000036" o:spid="_x0000_s1062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37" o:spid="_x0000_s1063" o:spt="75" type="#_x0000_t75" style="position:absolute;left:0pt;margin-left:53pt;margin-top:139.35pt;height:149.85pt;width:68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5" o:title=""/>
            <o:lock v:ext="edit" aspectratio="t"/>
          </v:shape>
        </w:pict>
      </w:r>
      <w:r>
        <w:pict>
          <v:shape id="_x000038" o:spid="_x0000_s1064" o:spt="75" type="#_x0000_t75" style="position:absolute;left:0pt;margin-left:131.8pt;margin-top:299.2pt;height:32.75pt;width:26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6" o:title=""/>
            <o:lock v:ext="edit" aspectratio="t"/>
          </v:shape>
        </w:pict>
      </w:r>
      <w:r>
        <w:pict>
          <v:shape id="_x000039" o:spid="_x0000_s1065" o:spt="75" type="#_x0000_t75" style="position:absolute;left:0pt;margin-left:364.35pt;margin-top:294.7pt;height:41.75pt;width:59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7" o:title=""/>
            <o:lock v:ext="edit" aspectratio="t"/>
          </v:shape>
        </w:pict>
      </w:r>
      <w:r>
        <w:pict>
          <v:shape id="_x000040" o:spid="_x0000_s1066" o:spt="75" type="#_x0000_t75" style="position:absolute;left:0pt;margin-left:152.05pt;margin-top:344.2pt;height:36.5pt;width:4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8" o:title=""/>
            <o:lock v:ext="edit" aspectratio="t"/>
          </v:shape>
        </w:pict>
      </w:r>
      <w:r>
        <w:pict>
          <v:shape id="_x000041" o:spid="_x0000_s1067" o:spt="75" type="#_x0000_t75" style="position:absolute;left:0pt;margin-left:416.95pt;margin-top:343.45pt;height:38.75pt;width:49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9" o:title=""/>
            <o:lock v:ext="edit" aspectratio="t"/>
          </v:shape>
        </w:pict>
      </w:r>
      <w:r>
        <w:pict>
          <v:shape id="_x000042" o:spid="_x0000_s1068" o:spt="75" type="#_x0000_t75" style="position:absolute;left:0pt;margin-left:110.05pt;margin-top:565.55pt;height:17pt;width:1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0" o:title=""/>
            <o:lock v:ext="edit" aspectratio="t"/>
          </v:shape>
        </w:pict>
      </w:r>
      <w:r>
        <w:pict>
          <v:shape id="_x000043" o:spid="_x0000_s1069" o:spt="75" type="#_x0000_t75" style="position:absolute;left:0pt;margin-left:343.35pt;margin-top:555.8pt;height:35pt;width:22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1" o:title=""/>
            <o:lock v:ext="edit" aspectratio="t"/>
          </v:shape>
        </w:pict>
      </w:r>
      <w:r>
        <w:pict>
          <v:shape id="_x000044" o:spid="_x0000_s1070" o:spt="75" type="#_x0000_t75" style="position:absolute;left:0pt;margin-left:84.55pt;margin-top:626.3pt;height:18.5pt;width:54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2" o:title=""/>
            <o:lock v:ext="edit" aspectratio="t"/>
          </v:shape>
        </w:pict>
      </w:r>
      <w:r>
        <w:pict>
          <v:shape id="_x000045" o:spid="_x0000_s1071" o:spt="75" type="#_x0000_t75" style="position:absolute;left:0pt;margin-left:339.6pt;margin-top:626.3pt;height:18.5pt;width:54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3" o:title=""/>
            <o:lock v:ext="edit" aspectratio="t"/>
          </v:shape>
        </w:pict>
      </w:r>
      <w:r>
        <w:pict>
          <v:shape id="_x000046" o:spid="_x0000_s1072" o:spt="75" type="#_x0000_t75" style="position:absolute;left:0pt;margin-left:178.35pt;margin-top:655.65pt;height:23pt;width:99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4" o:title=""/>
            <o:lock v:ext="edit" aspectratio="t"/>
          </v:shape>
        </w:pict>
      </w:r>
      <w:r>
        <w:pict>
          <v:shape id="_x000047" o:spid="_x0000_s1073" o:spt="75" type="#_x0000_t75" style="position:absolute;left:0pt;margin-left:454.45pt;margin-top:657.9pt;height:18.5pt;width:56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5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 xml:space="preserve">7. </w:t>
      </w:r>
      <w:r>
        <w:rPr>
          <w:rFonts w:ascii="宋体" w:hAnsi="宋体" w:cs="宋体"/>
          <w:color w:val="000000"/>
          <w:spacing w:val="0"/>
          <w:sz w:val="21"/>
        </w:rPr>
        <w:t>“金星凌日”时，从地球上看，金星就像镶嵌在太阳表面的小黑点。在地球上间距为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的两点同时观测，</w:t>
      </w:r>
    </w:p>
    <w:p w14:paraId="06612BB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测得金星在太阳表面的小黑点相距为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-3"/>
          <w:sz w:val="21"/>
        </w:rPr>
        <w:t>，如图所示。地球和金星绕太阳的运动均视为匀速圆周运动，太阳直</w:t>
      </w:r>
    </w:p>
    <w:p w14:paraId="74B6F77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径远小于金星的轨道半径，则地球和金星绕太阳运动的（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1DD28D6">
      <w:pPr>
        <w:spacing w:before="35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轨道半径之比</w:t>
      </w:r>
      <w:r>
        <w:rPr>
          <w:rFonts w:ascii="Times New Roman"/>
          <w:color w:val="000000"/>
          <w:spacing w:val="32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周期之比为</w:t>
      </w:r>
    </w:p>
    <w:p w14:paraId="5DEE5AD6">
      <w:pPr>
        <w:spacing w:before="6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线速度大小之比为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向心加速度大小之比为</w:t>
      </w:r>
    </w:p>
    <w:p w14:paraId="7865E2DC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一浮筒（视为质点）在池塘水面以频率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上下振动，水面泛起圆形的涟漪（视为简谐波）。用实线表示波</w:t>
      </w:r>
    </w:p>
    <w:p w14:paraId="7FA884D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峰位置，某时刻第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圈实线的半径为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0"/>
          <w:sz w:val="21"/>
        </w:rPr>
        <w:t>，第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圈实线的半径为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0"/>
          <w:sz w:val="21"/>
        </w:rPr>
        <w:t>，如图所示，则（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B55068E">
      <w:pPr>
        <w:spacing w:before="209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该波的波长为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i/>
          <w:color w:val="000000"/>
          <w:spacing w:val="30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该波的波速为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Times New Roman"/>
          <w:i/>
          <w:color w:val="000000"/>
          <w:spacing w:val="0"/>
          <w:sz w:val="21"/>
        </w:rPr>
        <w:t>fr</w:t>
      </w:r>
    </w:p>
    <w:p w14:paraId="64116C9D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此时浮筒</w:t>
      </w:r>
      <w:r>
        <w:rPr>
          <w:rFonts w:ascii="Times New Roman"/>
          <w:color w:val="000000"/>
          <w:spacing w:val="1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最低点</w:t>
      </w:r>
      <w:r>
        <w:rPr>
          <w:rFonts w:ascii="Times New Roman"/>
          <w:color w:val="000000"/>
          <w:spacing w:val="28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再经过</w:t>
      </w:r>
      <w:r>
        <w:rPr>
          <w:rFonts w:ascii="Times New Roman"/>
          <w:color w:val="000000"/>
          <w:spacing w:val="3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，浮筒将在最低点</w:t>
      </w:r>
    </w:p>
    <w:p w14:paraId="54C0B87A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9. 2025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月“疆电入渝”工程重庆段全线贯通，助力重庆形成特高压输电新格局，该工程计划将输电站</w:t>
      </w:r>
    </w:p>
    <w:p w14:paraId="781D13F4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提供的</w:t>
      </w:r>
      <w:r>
        <w:rPr>
          <w:rFonts w:ascii="Times New Roman"/>
          <w:color w:val="000000"/>
          <w:spacing w:val="1001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直流电由新疆输送至重庆，多次转换后变为</w:t>
      </w:r>
      <w:r>
        <w:rPr>
          <w:rFonts w:ascii="Times New Roman"/>
          <w:color w:val="000000"/>
          <w:spacing w:val="1000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的交流电，再经配电房中的变压</w:t>
      </w:r>
    </w:p>
    <w:p w14:paraId="18E82B63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器（视为理想变压器）降为</w:t>
      </w:r>
      <w:r>
        <w:rPr>
          <w:rFonts w:ascii="Times New Roman"/>
          <w:color w:val="000000"/>
          <w:spacing w:val="190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的家用交流电，若输电线路输送功率为</w:t>
      </w:r>
      <w:r>
        <w:rPr>
          <w:rFonts w:ascii="Times New Roman"/>
          <w:color w:val="000000"/>
          <w:spacing w:val="1043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，且直</w:t>
      </w:r>
    </w:p>
    <w:p w14:paraId="0980AA44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流输电过程中导线电阻产生的电功率损耗不超过输送功率的</w:t>
      </w:r>
      <w:r>
        <w:rPr>
          <w:rFonts w:ascii="Times New Roman"/>
          <w:color w:val="000000"/>
          <w:spacing w:val="0"/>
          <w:sz w:val="21"/>
        </w:rPr>
        <w:t xml:space="preserve"> 5%</w:t>
      </w:r>
      <w:r>
        <w:rPr>
          <w:rFonts w:ascii="宋体" w:hAnsi="宋体" w:cs="宋体"/>
          <w:color w:val="000000"/>
          <w:spacing w:val="0"/>
          <w:sz w:val="21"/>
        </w:rPr>
        <w:t>，则（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5E6E1D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直流输电导线中的电流为</w:t>
      </w:r>
      <w:r>
        <w:rPr>
          <w:rFonts w:ascii="Times New Roman"/>
          <w:color w:val="000000"/>
          <w:spacing w:val="0"/>
          <w:sz w:val="21"/>
        </w:rPr>
        <w:t xml:space="preserve"> 250A</w:t>
      </w:r>
    </w:p>
    <w:p w14:paraId="0518ACA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直流输电导线总阻值不超过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16Ω</w:t>
      </w:r>
    </w:p>
    <w:p w14:paraId="65827950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251A28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2193A1C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99514C4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50" o:spid="_x0000_s1076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51" o:spid="_x0000_s1077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52" o:spid="_x0000_s1078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53" o:spid="_x0000_s1079" o:spt="75" type="#_x0000_t75" style="position:absolute;left:0pt;margin-left:247.35pt;margin-top:93.55pt;height:16.25pt;width:39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6" o:title=""/>
            <o:lock v:ext="edit" aspectratio="t"/>
          </v:shape>
        </w:pict>
      </w:r>
      <w:r>
        <w:pict>
          <v:shape id="_x000054" o:spid="_x0000_s1080" o:spt="75" type="#_x0000_t75" style="position:absolute;left:0pt;margin-left:74.05pt;margin-top:213.6pt;height:33.5pt;width:54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7" o:title=""/>
            <o:lock v:ext="edit" aspectratio="t"/>
          </v:shape>
        </w:pict>
      </w:r>
      <w:r>
        <w:pict>
          <v:shape id="_x000055" o:spid="_x0000_s1081" o:spt="75" type="#_x0000_t75" style="position:absolute;left:0pt;margin-left:53pt;margin-top:257.1pt;height:101.8pt;width:362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8" o:title=""/>
            <o:lock v:ext="edit" aspectratio="t"/>
          </v:shape>
        </w:pict>
      </w:r>
      <w:r>
        <w:pict>
          <v:shape id="_x000056" o:spid="_x0000_s1082" o:spt="75" type="#_x0000_t75" style="position:absolute;left:0pt;margin-left:152.8pt;margin-top:378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0" o:title=""/>
            <o:lock v:ext="edit" aspectratio="t"/>
          </v:shape>
        </w:pict>
      </w:r>
      <w:r>
        <w:pict>
          <v:shape id="_x000057" o:spid="_x0000_s1083" o:spt="75" type="#_x0000_t75" style="position:absolute;left:0pt;margin-left:215.85pt;margin-top:368.2pt;height:36.5pt;width:39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9" o:title=""/>
            <o:lock v:ext="edit" aspectratio="t"/>
          </v:shape>
        </w:pict>
      </w:r>
      <w:r>
        <w:pict>
          <v:shape id="_x000058" o:spid="_x0000_s1084" o:spt="75" type="#_x0000_t75" style="position:absolute;left:0pt;margin-left:395.85pt;margin-top:368.2pt;height:3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0" o:title=""/>
            <o:lock v:ext="edit" aspectratio="t"/>
          </v:shape>
        </w:pict>
      </w:r>
      <w:r>
        <w:pict>
          <v:shape id="_x000059" o:spid="_x0000_s1085" o:spt="75" type="#_x0000_t75" style="position:absolute;left:0pt;margin-left:120.55pt;margin-top:413.25pt;height:38.75pt;width:5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1" o:title=""/>
            <o:lock v:ext="edit" aspectratio="t"/>
          </v:shape>
        </w:pict>
      </w:r>
      <w:r>
        <w:pict>
          <v:shape id="_x000060" o:spid="_x0000_s1086" o:spt="75" type="#_x0000_t75" style="position:absolute;left:0pt;margin-left:395.85pt;margin-top:416.25pt;height:33.5pt;width:39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2" o:title=""/>
            <o:lock v:ext="edit" aspectratio="t"/>
          </v:shape>
        </w:pict>
      </w:r>
      <w:r>
        <w:pict>
          <v:shape id="_x000061" o:spid="_x0000_s1087" o:spt="75" type="#_x0000_t75" style="position:absolute;left:0pt;margin-left:53pt;margin-top:555.05pt;height:193.35pt;width:308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3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家用交流电的电压最大值为</w:t>
      </w:r>
      <w:r>
        <w:rPr>
          <w:rFonts w:ascii="Times New Roman"/>
          <w:color w:val="000000"/>
          <w:spacing w:val="0"/>
          <w:sz w:val="21"/>
        </w:rPr>
        <w:t xml:space="preserve"> 220V</w:t>
      </w:r>
      <w:r>
        <w:rPr>
          <w:rFonts w:ascii="宋体" w:hAnsi="宋体" w:cs="宋体"/>
          <w:color w:val="000000"/>
          <w:spacing w:val="0"/>
          <w:sz w:val="21"/>
        </w:rPr>
        <w:t>，频率为</w:t>
      </w:r>
      <w:r>
        <w:rPr>
          <w:rFonts w:ascii="Times New Roman"/>
          <w:color w:val="000000"/>
          <w:spacing w:val="0"/>
          <w:sz w:val="21"/>
        </w:rPr>
        <w:t xml:space="preserve"> 50Hz</w:t>
      </w:r>
    </w:p>
    <w:p w14:paraId="33BB0B1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配电房中变压器原、副线圈中电流比为</w:t>
      </w:r>
    </w:p>
    <w:p w14:paraId="691590E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如图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2"/>
          <w:sz w:val="21"/>
        </w:rPr>
        <w:t>所示，小明设计的一种玩具小车由边长为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2"/>
          <w:sz w:val="21"/>
        </w:rPr>
        <w:t>的正方形金属框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efgh </w:t>
      </w:r>
      <w:r>
        <w:rPr>
          <w:rFonts w:ascii="宋体" w:hAnsi="宋体" w:cs="宋体"/>
          <w:color w:val="000000"/>
          <w:spacing w:val="2"/>
          <w:sz w:val="21"/>
        </w:rPr>
        <w:t>做成，小车沿平直绝缘轨道向</w:t>
      </w:r>
    </w:p>
    <w:p w14:paraId="44CA3CB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右运动，轨道内交替分布有边长均为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的正方形匀强磁场和无磁场区域，磁场区域的磁感应强度大小为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01C01EC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方向竖直向上。</w:t>
      </w:r>
      <w:r>
        <w:rPr>
          <w:rFonts w:ascii="Times New Roman"/>
          <w:i/>
          <w:color w:val="000000"/>
          <w:spacing w:val="0"/>
          <w:sz w:val="21"/>
        </w:rPr>
        <w:t>gh</w:t>
      </w:r>
      <w:r>
        <w:rPr>
          <w:rFonts w:ascii="Times New Roman"/>
          <w:i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段在磁场区域运动时，受到水平向右的拉力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 = kv</w:t>
      </w:r>
      <w:r>
        <w:rPr>
          <w:rFonts w:ascii="宋体" w:hAnsi="宋体" w:cs="宋体"/>
          <w:color w:val="000000"/>
          <w:spacing w:val="0"/>
          <w:sz w:val="21"/>
        </w:rPr>
        <w:t>＋</w:t>
      </w:r>
      <w:r>
        <w:rPr>
          <w:rFonts w:ascii="Times New Roman"/>
          <w:i/>
          <w:color w:val="000000"/>
          <w:spacing w:val="-12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i/>
          <w:color w:val="000000"/>
          <w:spacing w:val="0"/>
          <w:sz w:val="21"/>
        </w:rPr>
        <w:t xml:space="preserve">k </w:t>
      </w:r>
      <w:r>
        <w:rPr>
          <w:rFonts w:ascii="Times New Roman"/>
          <w:color w:val="000000"/>
          <w:spacing w:val="0"/>
          <w:sz w:val="21"/>
        </w:rPr>
        <w:t>&gt; 0</w:t>
      </w:r>
      <w:r>
        <w:rPr>
          <w:rFonts w:ascii="宋体" w:hAnsi="宋体" w:cs="宋体"/>
          <w:color w:val="000000"/>
          <w:spacing w:val="-12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Times New Roman"/>
          <w:color w:val="000000"/>
          <w:spacing w:val="0"/>
          <w:sz w:val="21"/>
        </w:rPr>
        <w:t>&gt; 0</w:t>
      </w:r>
      <w:r>
        <w:rPr>
          <w:rFonts w:ascii="宋体" w:hAnsi="宋体" w:cs="宋体"/>
          <w:color w:val="000000"/>
          <w:spacing w:val="-39"/>
          <w:sz w:val="21"/>
        </w:rPr>
        <w:t>），且</w:t>
      </w:r>
      <w:r>
        <w:rPr>
          <w:rFonts w:ascii="Times New Roman"/>
          <w:color w:val="000000"/>
          <w:spacing w:val="36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gh</w:t>
      </w:r>
      <w:r>
        <w:rPr>
          <w:rFonts w:ascii="Times New Roman"/>
          <w:i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两端的电压</w:t>
      </w:r>
    </w:p>
    <w:p w14:paraId="4DBB99D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随时间均匀增加；当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gh </w:t>
      </w:r>
      <w:r>
        <w:rPr>
          <w:rFonts w:ascii="宋体" w:hAnsi="宋体" w:cs="宋体"/>
          <w:color w:val="000000"/>
          <w:spacing w:val="2"/>
          <w:sz w:val="21"/>
        </w:rPr>
        <w:t>在无磁场区域运动时，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i/>
          <w:color w:val="000000"/>
          <w:spacing w:val="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=</w:t>
      </w:r>
      <w:r>
        <w:rPr>
          <w:rFonts w:ascii="Times New Roman"/>
          <w:i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宋体" w:hAnsi="宋体" w:cs="宋体"/>
          <w:color w:val="000000"/>
          <w:spacing w:val="2"/>
          <w:sz w:val="21"/>
        </w:rPr>
        <w:t>。</w:t>
      </w:r>
      <w:r>
        <w:rPr>
          <w:rFonts w:ascii="Times New Roman"/>
          <w:i/>
          <w:color w:val="000000"/>
          <w:spacing w:val="0"/>
          <w:sz w:val="21"/>
        </w:rPr>
        <w:t xml:space="preserve">gh </w:t>
      </w:r>
      <w:r>
        <w:rPr>
          <w:rFonts w:ascii="宋体" w:hAnsi="宋体" w:cs="宋体"/>
          <w:color w:val="000000"/>
          <w:spacing w:val="2"/>
          <w:sz w:val="21"/>
        </w:rPr>
        <w:t>段速度大小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v </w:t>
      </w:r>
      <w:r>
        <w:rPr>
          <w:rFonts w:ascii="宋体" w:hAnsi="宋体" w:cs="宋体"/>
          <w:color w:val="000000"/>
          <w:spacing w:val="2"/>
          <w:sz w:val="21"/>
        </w:rPr>
        <w:t>与运动路程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S </w:t>
      </w:r>
      <w:r>
        <w:rPr>
          <w:rFonts w:ascii="宋体" w:hAnsi="宋体" w:cs="宋体"/>
          <w:color w:val="000000"/>
          <w:spacing w:val="2"/>
          <w:sz w:val="21"/>
        </w:rPr>
        <w:t>的关系如图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2"/>
          <w:sz w:val="21"/>
        </w:rPr>
        <w:t>所示，</w:t>
      </w:r>
    </w:p>
    <w:p w14:paraId="64C4E648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图中</w:t>
      </w:r>
      <w:r>
        <w:rPr>
          <w:rFonts w:ascii="Times New Roman"/>
          <w:color w:val="000000"/>
          <w:spacing w:val="99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gh </w:t>
      </w:r>
      <w:r>
        <w:rPr>
          <w:rFonts w:ascii="宋体" w:hAnsi="宋体" w:cs="宋体"/>
          <w:color w:val="000000"/>
          <w:spacing w:val="0"/>
          <w:sz w:val="21"/>
        </w:rPr>
        <w:t>每次经过磁场区域左边界时速度大小，忽略摩擦力。则（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D794BB9">
      <w:pPr>
        <w:spacing w:before="28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Times New Roman"/>
          <w:i/>
          <w:color w:val="000000"/>
          <w:spacing w:val="0"/>
          <w:sz w:val="21"/>
        </w:rPr>
        <w:t xml:space="preserve">gh </w:t>
      </w:r>
      <w:r>
        <w:rPr>
          <w:rFonts w:ascii="宋体" w:hAnsi="宋体" w:cs="宋体"/>
          <w:color w:val="000000"/>
          <w:spacing w:val="0"/>
          <w:sz w:val="21"/>
        </w:rPr>
        <w:t>在任一磁场区域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运动时间为</w:t>
      </w:r>
      <w:r>
        <w:rPr>
          <w:rFonts w:ascii="Times New Roman"/>
          <w:color w:val="000000"/>
          <w:spacing w:val="157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金属框的总电阻为</w:t>
      </w:r>
    </w:p>
    <w:p w14:paraId="3F4A561C">
      <w:pPr>
        <w:spacing w:before="6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小车质量为</w:t>
      </w:r>
      <w:r>
        <w:rPr>
          <w:rFonts w:ascii="Times New Roman"/>
          <w:color w:val="000000"/>
          <w:spacing w:val="347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小车的最大速率为</w:t>
      </w:r>
    </w:p>
    <w:p w14:paraId="395AAC4A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弹簧是熄火保护装置中的一个元件，其劲度系数会影响装置的性能。小组设计了如图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所示的实验装置</w:t>
      </w:r>
    </w:p>
    <w:p w14:paraId="2D4476A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测量弹簧的劲度系数，其中压力传感器水平放置，弹簧竖直放在传感器上，螺旋测微器竖直安装，测微螺</w:t>
      </w:r>
    </w:p>
    <w:p w14:paraId="32A6421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杆正对弹簧。</w:t>
      </w:r>
    </w:p>
    <w:p w14:paraId="213A909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）某次测量时，螺旋测微器的示数如图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所示，此时读数为</w:t>
      </w:r>
      <w:r>
        <w:rPr>
          <w:rFonts w:ascii="Times New Roman"/>
          <w:color w:val="000000"/>
          <w:spacing w:val="0"/>
          <w:sz w:val="21"/>
        </w:rPr>
        <w:t>______mm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4575972">
      <w:pPr>
        <w:spacing w:before="447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901B74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3974B9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DF05709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64" o:spid="_x0000_s1090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65" o:spid="_x0000_s1091" o:spt="75" type="#_x0000_t75" style="position:absolute;left:0pt;margin-left:53pt;margin-top:450pt;height:92.8pt;width:371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4" o:title=""/>
            <o:lock v:ext="edit" aspectratio="t"/>
          </v:shape>
        </w:pict>
      </w:r>
      <w:r>
        <w:pict>
          <v:shape id="_x000066" o:spid="_x0000_s1092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67" o:spid="_x0000_s1093" o:spt="75" type="#_x0000_t75" style="position:absolute;left:0pt;margin-left:53pt;margin-top:119.05pt;height:175.35pt;width:293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5" o:title=""/>
            <o:lock v:ext="edit" aspectratio="t"/>
          </v:shape>
        </w:pict>
      </w:r>
      <w:r>
        <w:pict>
          <v:shape id="_x000068" o:spid="_x0000_s1094" o:spt="75" type="#_x0000_t75" style="position:absolute;left:0pt;margin-left:219.6pt;margin-top:431.25pt;height:13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6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）对测得的数据进行处理后得到弹簧弹力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0"/>
          <w:sz w:val="21"/>
        </w:rPr>
        <w:t>与弹簧长度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l </w:t>
      </w:r>
      <w:r>
        <w:rPr>
          <w:rFonts w:ascii="宋体" w:hAnsi="宋体" w:cs="宋体"/>
          <w:color w:val="000000"/>
          <w:spacing w:val="0"/>
          <w:sz w:val="21"/>
        </w:rPr>
        <w:t>的关系如图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所示，由图可得弹簧的劲度系数</w:t>
      </w:r>
    </w:p>
    <w:p w14:paraId="572A5E4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0"/>
          <w:sz w:val="21"/>
        </w:rPr>
        <w:t>_______N/m</w:t>
      </w:r>
      <w:r>
        <w:rPr>
          <w:rFonts w:ascii="宋体" w:hAnsi="宋体" w:cs="宋体"/>
          <w:color w:val="000000"/>
          <w:spacing w:val="0"/>
          <w:sz w:val="21"/>
        </w:rPr>
        <w:t>，弹簧原长为</w:t>
      </w:r>
      <w:r>
        <w:rPr>
          <w:rFonts w:ascii="Times New Roman"/>
          <w:color w:val="000000"/>
          <w:spacing w:val="0"/>
          <w:sz w:val="21"/>
        </w:rPr>
        <w:t>_______mm</w:t>
      </w:r>
      <w:r>
        <w:rPr>
          <w:rFonts w:ascii="宋体" w:hAnsi="宋体" w:cs="宋体"/>
          <w:color w:val="000000"/>
          <w:spacing w:val="0"/>
          <w:sz w:val="21"/>
        </w:rPr>
        <w:t>（均保留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-15"/>
          <w:sz w:val="21"/>
        </w:rPr>
        <w:t>位有效数字）。</w:t>
      </w:r>
    </w:p>
    <w:p w14:paraId="1D251AFC">
      <w:pPr>
        <w:spacing w:before="3917" w:after="0" w:line="259" w:lineRule="exact"/>
        <w:ind w:left="0" w:right="0" w:firstLine="0"/>
        <w:jc w:val="left"/>
        <w:rPr>
          <w:rFonts w:ascii="Times New Roman"/>
          <w:color w:val="000000"/>
          <w:spacing w:val="0"/>
          <w:sz w:val="23"/>
        </w:rPr>
      </w:pPr>
      <w:r>
        <w:rPr>
          <w:rFonts w:ascii="Times New Roman"/>
          <w:color w:val="000000"/>
          <w:spacing w:val="0"/>
          <w:sz w:val="21"/>
        </w:rPr>
        <w:t>12</w:t>
      </w:r>
      <w:r>
        <w:rPr>
          <w:rFonts w:ascii="Times New Roman"/>
          <w:color w:val="000000"/>
          <w:spacing w:val="0"/>
          <w:sz w:val="23"/>
        </w:rPr>
        <w:t>.</w:t>
      </w:r>
      <w:r>
        <w:rPr>
          <w:rFonts w:ascii="宋体" w:hAnsi="宋体" w:cs="宋体"/>
          <w:color w:val="000000"/>
          <w:spacing w:val="0"/>
          <w:sz w:val="23"/>
        </w:rPr>
        <w:t>略</w:t>
      </w:r>
    </w:p>
    <w:p w14:paraId="2A2450EA">
      <w:pPr>
        <w:spacing w:before="112" w:after="0" w:line="259" w:lineRule="exact"/>
        <w:ind w:left="0" w:right="0" w:firstLine="0"/>
        <w:jc w:val="left"/>
        <w:rPr>
          <w:rFonts w:ascii="Times New Roman"/>
          <w:color w:val="000000"/>
          <w:spacing w:val="0"/>
          <w:sz w:val="23"/>
        </w:rPr>
      </w:pPr>
      <w:r>
        <w:rPr>
          <w:rFonts w:ascii="Times New Roman"/>
          <w:color w:val="000000"/>
          <w:spacing w:val="0"/>
          <w:sz w:val="23"/>
        </w:rPr>
        <w:t>13.</w:t>
      </w:r>
      <w:r>
        <w:rPr>
          <w:rFonts w:ascii="宋体" w:hAnsi="宋体" w:cs="宋体"/>
          <w:color w:val="000000"/>
          <w:spacing w:val="0"/>
          <w:sz w:val="23"/>
        </w:rPr>
        <w:t>略</w:t>
      </w:r>
    </w:p>
    <w:p w14:paraId="0E271A12">
      <w:pPr>
        <w:spacing w:before="112" w:after="0" w:line="259" w:lineRule="exact"/>
        <w:ind w:left="0" w:right="0" w:firstLine="0"/>
        <w:jc w:val="left"/>
        <w:rPr>
          <w:rFonts w:ascii="Times New Roman"/>
          <w:color w:val="000000"/>
          <w:spacing w:val="0"/>
          <w:sz w:val="23"/>
        </w:rPr>
      </w:pPr>
      <w:r>
        <w:rPr>
          <w:rFonts w:ascii="Times New Roman"/>
          <w:color w:val="000000"/>
          <w:spacing w:val="0"/>
          <w:sz w:val="23"/>
        </w:rPr>
        <w:t>14.</w:t>
      </w:r>
      <w:r>
        <w:rPr>
          <w:rFonts w:ascii="宋体" w:hAnsi="宋体" w:cs="宋体"/>
          <w:color w:val="000000"/>
          <w:spacing w:val="0"/>
          <w:sz w:val="23"/>
        </w:rPr>
        <w:t>略</w:t>
      </w:r>
    </w:p>
    <w:p w14:paraId="39DDFB7B">
      <w:pPr>
        <w:spacing w:before="16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如图所示，长度为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d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的水平传送带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顺时针匀速运动。质量为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的小物块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在传送带左端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由静止释</w:t>
      </w:r>
    </w:p>
    <w:p w14:paraId="6A73032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3"/>
          <w:sz w:val="21"/>
        </w:rPr>
        <w:t>放。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2"/>
          <w:sz w:val="21"/>
        </w:rPr>
        <w:t>还未与传送带达到相同速度时就从右端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2"/>
          <w:sz w:val="21"/>
        </w:rPr>
        <w:t>平滑地进入光滑水平面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NO</w:t>
      </w:r>
      <w:r>
        <w:rPr>
          <w:rFonts w:ascii="宋体" w:hAnsi="宋体" w:cs="宋体"/>
          <w:color w:val="000000"/>
          <w:spacing w:val="2"/>
          <w:sz w:val="21"/>
        </w:rPr>
        <w:t>，与向右运动的小物块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2"/>
          <w:sz w:val="21"/>
        </w:rPr>
        <w:t>发生</w:t>
      </w:r>
    </w:p>
    <w:p w14:paraId="4CD04DA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0"/>
          <w:sz w:val="21"/>
        </w:rPr>
        <w:t>碰撞（碰撞时间极短）。碰后</w:t>
      </w:r>
      <w:r>
        <w:rPr>
          <w:rFonts w:ascii="Times New Roman"/>
          <w:color w:val="000000"/>
          <w:spacing w:val="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14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均向右运动，从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Times New Roman"/>
          <w:i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点进入粗糙水平地面。设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与传送带间的动摩擦因数</w:t>
      </w:r>
    </w:p>
    <w:p w14:paraId="75ED7ED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与地面间的动摩擦因数均为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，重力加速度为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E92AFD9">
      <w:pPr>
        <w:spacing w:before="209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）求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在传送带上的加速度大小及离开传送带时的速度大小；</w:t>
      </w:r>
    </w:p>
    <w:p w14:paraId="53D5CFE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）若碰前瞬间，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的速度大小为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的一半，碰撞为弹性碰撞，且碰后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在粗糙地面上停下后相距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081C729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求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的质量；</w:t>
      </w:r>
    </w:p>
    <w:p w14:paraId="4FB51AD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1"/>
          <w:sz w:val="21"/>
        </w:rPr>
        <w:t>）若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的质量是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倍，碰后瞬间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的动量相同，求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的取值范围及碰后瞬间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的速度大小范</w:t>
      </w:r>
    </w:p>
    <w:p w14:paraId="7335D31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围。</w:t>
      </w:r>
    </w:p>
    <w:p w14:paraId="00D0DEAA">
      <w:pPr>
        <w:spacing w:before="228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4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FAE38A1C-8023-44A5-A7C4-8FACE6BFC9C2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DF439240-79A3-42C6-9342-C2A9B78EA2F8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C913396F-32D0-4DD0-A02C-B155A6CA01E2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12896A8D-66EC-47D7-B12D-6E9BFC8FC4EB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15F0D961-6F0F-454B-BB13-B7072EACB60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E7EBDF81-8797-4435-80A3-DA656BB680AF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D3595D35-27A7-4907-B1DB-C1BE13CF709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653C02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91FA1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41EC97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F6735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C8674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E817F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  <w:rsid w:val="24464BAA"/>
    <w:rsid w:val="3AAB4543"/>
    <w:rsid w:val="409213A1"/>
    <w:rsid w:val="43CF31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qFormat="1" w:unhideWhenUsed="0" w:uiPriority="4294967295" w:semiHidden="0" w:name="header"/>
    <w:lsdException w:qFormat="1"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qFormat="1"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qFormat="1" w:unhideWhenUsed="0" w:uiPriority="4294967295" w:semiHidden="0" w:name="Normal Table"/>
    <w:lsdException w:unhideWhenUsed="0" w:uiPriority="4294967295" w:semiHidden="0" w:name="annotation subject"/>
    <w:lsdException w:qFormat="1"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qFormat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footer"/>
    <w:basedOn w:val="1"/>
    <w:qFormat/>
    <w:uiPriority w:val="4294967295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4294967295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8" Type="http://schemas.openxmlformats.org/officeDocument/2006/relationships/fontTable" Target="fontTable.xml"/><Relationship Id="rId57" Type="http://schemas.openxmlformats.org/officeDocument/2006/relationships/customXml" Target="../customXml/item1.xml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90"/>
    <customShpInfo spid="_x0000_s1091"/>
    <customShpInfo spid="_x0000_s1092"/>
    <customShpInfo spid="_x0000_s1093"/>
    <customShpInfo spid="_x0000_s109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10</Pages>
  <Words>2124</Words>
  <Characters>2256</Characters>
  <Lines>0</Lines>
  <Paragraphs>78</Paragraphs>
  <TotalTime>3</TotalTime>
  <ScaleCrop>false</ScaleCrop>
  <LinksUpToDate>false</LinksUpToDate>
  <CharactersWithSpaces>2533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2025-06-25T20:17:00Z</dcterms:created>
  <dc:creator>Administrator</dc:creator>
  <cp:lastModifiedBy>上帝掷骰子吗</cp:lastModifiedBy>
  <dcterms:modified xsi:type="dcterms:W3CDTF">2026-02-10T06:57:24Z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DE601807E92D443AB36749CC2EE2E509_12</vt:lpwstr>
  </property>
</Properties>
</file>