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8B6255">
      <w:pPr>
        <w:spacing w:line="360" w:lineRule="auto"/>
        <w:jc w:val="left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11569700</wp:posOffset>
            </wp:positionH>
            <wp:positionV relativeFrom="topMargin">
              <wp:posOffset>12471400</wp:posOffset>
            </wp:positionV>
            <wp:extent cx="304800" cy="419100"/>
            <wp:effectExtent l="0" t="0" r="0" b="0"/>
            <wp:wrapNone/>
            <wp:docPr id="100022" name="图片 100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2" name="图片 10002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24"/>
        </w:rPr>
        <w:t>机密★考试结束前</w:t>
      </w:r>
    </w:p>
    <w:p w14:paraId="267358AF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2024年云南省初中学业水平考试</w:t>
      </w:r>
    </w:p>
    <w:p w14:paraId="672D7C6A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语文试题卷</w:t>
      </w:r>
    </w:p>
    <w:p w14:paraId="66D572A8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（全卷四个大题，共26个小题，共8页；满分100分，考试用时150分钟）</w:t>
      </w:r>
    </w:p>
    <w:p w14:paraId="35C1684B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1E9D2998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1．本卷为试题卷。考生必须在答题卡上解题作答。答案应书写在答题卡的相应位置上，在试题卷、草稿纸上作答无效。</w:t>
      </w:r>
    </w:p>
    <w:p w14:paraId="2CF74722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2．考试结束后，请将试题卷和答题卡一并交回。</w:t>
      </w:r>
    </w:p>
    <w:p w14:paraId="4564EDFF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一、积累与运用（1～5题，每题2分，第6题6分，共16分）</w:t>
      </w:r>
    </w:p>
    <w:p w14:paraId="5675648A">
      <w:pPr>
        <w:spacing w:line="360" w:lineRule="auto"/>
        <w:jc w:val="left"/>
      </w:pPr>
      <w:r>
        <w:rPr>
          <w:rFonts w:ascii="宋体" w:hAnsi="宋体" w:eastAsia="宋体" w:cs="宋体"/>
          <w:color w:val="auto"/>
        </w:rPr>
        <w:t>阅读下面文字，按要求完成下面小题。</w:t>
      </w:r>
    </w:p>
    <w:p w14:paraId="5D72CC21"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内容丰富、形式多样的非物质文化遗产，是云南的靓（</w:t>
      </w:r>
      <w:r>
        <w:rPr>
          <w:rFonts w:ascii="Times New Roman" w:hAnsi="Times New Roman" w:eastAsia="Times New Roman" w:cs="Times New Roman"/>
          <w:color w:val="auto"/>
        </w:rPr>
        <w:t>liàng</w:t>
      </w:r>
      <w:r>
        <w:rPr>
          <w:rFonts w:ascii="楷体" w:hAnsi="楷体" w:eastAsia="楷体" w:cs="楷体"/>
          <w:color w:val="auto"/>
        </w:rPr>
        <w:t>）丽名片。</w:t>
      </w:r>
      <w:r>
        <w:rPr>
          <w:rFonts w:ascii="楷体" w:hAnsi="楷体" w:eastAsia="楷体" w:cs="楷体"/>
          <w:color w:val="auto"/>
          <w:em w:val="dot"/>
        </w:rPr>
        <w:t>巧夺天工</w:t>
      </w:r>
      <w:r>
        <w:rPr>
          <w:rFonts w:ascii="楷体" w:hAnsi="楷体" w:eastAsia="楷体" w:cs="楷体"/>
          <w:color w:val="auto"/>
        </w:rPr>
        <w:t>的剑川木雕、闻名遐迩的鹤庆银器、流传久远的腾冲皮影戏、跻身国际时装展的楚雄彝族刺绣……它们是历久弥新的文化印记，是融入云岭儿女______的文化基因，是中华优秀传统文化的重要组成部分。</w:t>
      </w:r>
    </w:p>
    <w:p w14:paraId="750C10C2"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城乡皆有</w:t>
      </w:r>
      <w:r>
        <w:rPr>
          <w:rFonts w:ascii="楷体" w:hAnsi="楷体" w:eastAsia="楷体" w:cs="楷体"/>
          <w:color w:val="auto"/>
          <w:em w:val="dot"/>
        </w:rPr>
        <w:t>传习</w:t>
      </w:r>
      <w:r>
        <w:rPr>
          <w:rFonts w:ascii="楷体" w:hAnsi="楷体" w:eastAsia="楷体" w:cs="楷体"/>
          <w:color w:val="auto"/>
        </w:rPr>
        <w:t>声，非遗繁花缀（</w:t>
      </w:r>
      <w:r>
        <w:rPr>
          <w:rFonts w:ascii="Times New Roman" w:hAnsi="Times New Roman" w:eastAsia="Times New Roman" w:cs="Times New Roman"/>
          <w:color w:val="auto"/>
        </w:rPr>
        <w:t>zhuì</w:t>
      </w:r>
      <w:r>
        <w:rPr>
          <w:rFonts w:ascii="楷体" w:hAnsi="楷体" w:eastAsia="楷体" w:cs="楷体"/>
          <w:color w:val="auto"/>
        </w:rPr>
        <w:t>）云南。近年来，云南不断发掘出一批又一批非物质文化遗产。西盟县的佤族织锦______古法技艺，一经一纬循环往复，色彩以黑、红为主，黄、绿、白、蓝、粉、棕相间（</w:t>
      </w:r>
      <w:r>
        <w:rPr>
          <w:rFonts w:ascii="Times New Roman" w:hAnsi="Times New Roman" w:eastAsia="Times New Roman" w:cs="Times New Roman"/>
          <w:color w:val="auto"/>
        </w:rPr>
        <w:t>jiān</w:t>
      </w:r>
      <w:r>
        <w:rPr>
          <w:rFonts w:ascii="楷体" w:hAnsi="楷体" w:eastAsia="楷体" w:cs="楷体"/>
          <w:color w:val="auto"/>
        </w:rPr>
        <w:t>），像极了挂在佤山苍穹（</w:t>
      </w:r>
      <w:r>
        <w:rPr>
          <w:rFonts w:ascii="Times New Roman" w:hAnsi="Times New Roman" w:eastAsia="Times New Roman" w:cs="Times New Roman"/>
          <w:color w:val="auto"/>
        </w:rPr>
        <w:t>qióng</w:t>
      </w:r>
      <w:r>
        <w:rPr>
          <w:rFonts w:ascii="楷体" w:hAnsi="楷体" w:eastAsia="楷体" w:cs="楷体"/>
          <w:color w:val="auto"/>
        </w:rPr>
        <w:t>）下的彩虹。佤族织锦融入了绿水青山、彩霞云霓等元素，以丰富的色彩和纹样形成</w:t>
      </w:r>
      <w:r>
        <w:rPr>
          <w:rFonts w:ascii="楷体" w:hAnsi="楷体" w:eastAsia="楷体" w:cs="楷体"/>
          <w:color w:val="auto"/>
          <w:em w:val="dot"/>
        </w:rPr>
        <w:t>独竖一帜</w:t>
      </w:r>
      <w:r>
        <w:rPr>
          <w:rFonts w:ascii="楷体" w:hAnsi="楷体" w:eastAsia="楷体" w:cs="楷体"/>
          <w:color w:val="auto"/>
        </w:rPr>
        <w:t>的风格。贡山独龙族妇女手工编织而成的独龙毯“约多”，以连续的直线条纹拼接而成，同样色彩</w:t>
      </w:r>
      <w:r>
        <w:rPr>
          <w:rFonts w:ascii="楷体" w:hAnsi="楷体" w:eastAsia="楷体" w:cs="楷体"/>
          <w:color w:val="auto"/>
          <w:em w:val="dot"/>
        </w:rPr>
        <w:t>绚丽</w:t>
      </w:r>
      <w:r>
        <w:rPr>
          <w:rFonts w:ascii="楷体" w:hAnsi="楷体" w:eastAsia="楷体" w:cs="楷体"/>
          <w:color w:val="auto"/>
        </w:rPr>
        <w:t>。编织毯子的独龙族妇女也被称为“织彩虹的人”。</w:t>
      </w:r>
      <w:r>
        <w:rPr>
          <w:rFonts w:ascii="楷体" w:hAnsi="楷体" w:eastAsia="楷体" w:cs="楷体"/>
          <w:color w:val="auto"/>
          <w:u w:val="single"/>
        </w:rPr>
        <w:t>芒市德昂族的酸茶，运用传统工艺精心制作，具有与众不同的独特风味。</w:t>
      </w:r>
      <w:r>
        <w:rPr>
          <w:rFonts w:ascii="楷体" w:hAnsi="楷体" w:eastAsia="楷体" w:cs="楷体"/>
          <w:color w:val="auto"/>
        </w:rPr>
        <w:t>德昂酸茶分饮用茶和食用茶，食用茶是德昂餐桌上一道______的美食……</w:t>
      </w:r>
    </w:p>
    <w:p w14:paraId="40A6AE51"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不论现在还是未来，云南非物质文化遗产都会在世界舞台上______。</w:t>
      </w:r>
    </w:p>
    <w:p w14:paraId="2DF4F218">
      <w:pPr>
        <w:spacing w:line="360" w:lineRule="auto"/>
        <w:jc w:val="left"/>
        <w:textAlignment w:val="center"/>
        <w:rPr>
          <w:color w:val="auto"/>
        </w:rPr>
      </w:pPr>
      <w:r>
        <w:t xml:space="preserve">1. </w:t>
      </w:r>
      <w:r>
        <w:rPr>
          <w:rFonts w:ascii="宋体" w:hAnsi="宋体" w:eastAsia="宋体" w:cs="宋体"/>
          <w:color w:val="auto"/>
        </w:rPr>
        <w:t>文中注音</w:t>
      </w:r>
      <w:r>
        <w:rPr>
          <w:rFonts w:ascii="宋体" w:hAnsi="宋体" w:eastAsia="宋体" w:cs="宋体"/>
          <w:color w:val="auto"/>
          <w:em w:val="dot"/>
        </w:rPr>
        <w:t>不正确</w:t>
      </w:r>
      <w:r>
        <w:rPr>
          <w:rFonts w:ascii="宋体" w:hAnsi="宋体" w:eastAsia="宋体" w:cs="宋体"/>
          <w:color w:val="auto"/>
        </w:rPr>
        <w:t>的一项是（    ）</w:t>
      </w:r>
    </w:p>
    <w:p w14:paraId="587BD79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靓（</w:t>
      </w:r>
      <w:r>
        <w:rPr>
          <w:rFonts w:ascii="Times New Roman" w:hAnsi="Times New Roman" w:eastAsia="Times New Roman" w:cs="Times New Roman"/>
          <w:color w:val="auto"/>
        </w:rPr>
        <w:t>liàng</w:t>
      </w:r>
      <w:r>
        <w:rPr>
          <w:rFonts w:ascii="宋体" w:hAnsi="宋体" w:eastAsia="宋体" w:cs="宋体"/>
          <w:color w:val="auto"/>
        </w:rPr>
        <w:t>）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缀（</w:t>
      </w:r>
      <w:r>
        <w:rPr>
          <w:rFonts w:ascii="Times New Roman" w:hAnsi="Times New Roman" w:eastAsia="Times New Roman" w:cs="Times New Roman"/>
          <w:color w:val="auto"/>
        </w:rPr>
        <w:t>zhuì</w:t>
      </w:r>
      <w:r>
        <w:rPr>
          <w:rFonts w:ascii="宋体" w:hAnsi="宋体" w:eastAsia="宋体" w:cs="宋体"/>
          <w:color w:val="auto"/>
        </w:rPr>
        <w:t>）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间（</w:t>
      </w:r>
      <w:r>
        <w:rPr>
          <w:rFonts w:ascii="Times New Roman" w:hAnsi="Times New Roman" w:eastAsia="Times New Roman" w:cs="Times New Roman"/>
          <w:color w:val="auto"/>
        </w:rPr>
        <w:t>jiān</w:t>
      </w:r>
      <w:r>
        <w:rPr>
          <w:rFonts w:ascii="宋体" w:hAnsi="宋体" w:eastAsia="宋体" w:cs="宋体"/>
          <w:color w:val="auto"/>
        </w:rPr>
        <w:t>）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穹（</w:t>
      </w:r>
      <w:r>
        <w:rPr>
          <w:rFonts w:ascii="Times New Roman" w:hAnsi="Times New Roman" w:eastAsia="Times New Roman" w:cs="Times New Roman"/>
          <w:color w:val="auto"/>
        </w:rPr>
        <w:t>qióng</w:t>
      </w:r>
      <w:r>
        <w:rPr>
          <w:rFonts w:ascii="宋体" w:hAnsi="宋体" w:eastAsia="宋体" w:cs="宋体"/>
          <w:color w:val="auto"/>
        </w:rPr>
        <w:t>）</w:t>
      </w:r>
    </w:p>
    <w:p w14:paraId="6D74B64C">
      <w:pPr>
        <w:spacing w:line="360" w:lineRule="auto"/>
        <w:jc w:val="left"/>
        <w:textAlignment w:val="center"/>
        <w:rPr>
          <w:color w:val="auto"/>
        </w:rPr>
      </w:pPr>
      <w:r>
        <w:t xml:space="preserve">2. </w:t>
      </w:r>
      <w:r>
        <w:rPr>
          <w:rFonts w:ascii="宋体" w:hAnsi="宋体" w:eastAsia="宋体" w:cs="宋体"/>
          <w:color w:val="auto"/>
        </w:rPr>
        <w:t>文中加点词语有错别字的一项是（    ）</w:t>
      </w:r>
    </w:p>
    <w:p w14:paraId="618F16F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auto"/>
        </w:rPr>
      </w:pPr>
      <w:r>
        <w:t>A</w:t>
      </w:r>
      <w:r>
        <w:rPr>
          <w:position w:val="-22"/>
        </w:rPr>
        <w:drawing>
          <wp:inline distT="0" distB="0" distL="114300" distR="114300">
            <wp:extent cx="31750" cy="88900"/>
            <wp:effectExtent l="0" t="0" r="0" b="0"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ascii="宋体" w:hAnsi="宋体" w:eastAsia="宋体" w:cs="宋体"/>
          <w:color w:val="auto"/>
        </w:rPr>
        <w:t>巧夺天工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传习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独竖一帜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绚丽</w:t>
      </w:r>
    </w:p>
    <w:p w14:paraId="5B198DB4">
      <w:pPr>
        <w:spacing w:line="360" w:lineRule="auto"/>
        <w:jc w:val="left"/>
        <w:textAlignment w:val="center"/>
        <w:rPr>
          <w:color w:val="auto"/>
        </w:rPr>
      </w:pPr>
      <w:r>
        <w:t xml:space="preserve">3. </w:t>
      </w:r>
      <w:r>
        <w:rPr>
          <w:rFonts w:ascii="宋体" w:hAnsi="宋体" w:eastAsia="宋体" w:cs="宋体"/>
          <w:color w:val="auto"/>
        </w:rPr>
        <w:t>文中横线上应填入的词语，最恰当的一项是（    ）</w:t>
      </w:r>
    </w:p>
    <w:p w14:paraId="121B4E1B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血液  承载  不可或缺  大放异彩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血脉  承载  不可多得  精彩纷呈</w:t>
      </w:r>
    </w:p>
    <w:p w14:paraId="5C385FEE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血液  传承  不可或缺  精彩纷呈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血脉  传承  不可多得  大放异彩</w:t>
      </w:r>
    </w:p>
    <w:p w14:paraId="30CA7AB5">
      <w:pPr>
        <w:spacing w:line="360" w:lineRule="auto"/>
        <w:jc w:val="left"/>
        <w:textAlignment w:val="center"/>
        <w:rPr>
          <w:color w:val="auto"/>
        </w:rPr>
      </w:pPr>
      <w:r>
        <w:t xml:space="preserve">4. </w:t>
      </w:r>
      <w:r>
        <w:rPr>
          <w:rFonts w:ascii="宋体" w:hAnsi="宋体" w:eastAsia="宋体" w:cs="宋体"/>
          <w:color w:val="auto"/>
        </w:rPr>
        <w:t>文中画线句子有语病，修改正确的一项是（    ）</w:t>
      </w:r>
    </w:p>
    <w:p w14:paraId="772AF0EC">
      <w:pPr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芒市德昂族的酸茶，运用传统工艺精心制作，具有与众不同的风味。</w:t>
      </w:r>
    </w:p>
    <w:p w14:paraId="2B0E99CE">
      <w:pPr>
        <w:spacing w:line="360" w:lineRule="auto"/>
        <w:jc w:val="left"/>
        <w:textAlignment w:val="center"/>
        <w:rPr>
          <w:color w:val="auto"/>
        </w:rPr>
      </w:pPr>
      <w:r>
        <w:t xml:space="preserve">B. </w:t>
      </w:r>
      <w:r>
        <w:rPr>
          <w:rFonts w:ascii="宋体" w:hAnsi="宋体" w:eastAsia="宋体" w:cs="宋体"/>
          <w:color w:val="auto"/>
        </w:rPr>
        <w:t>芒市德昂族的酸茶，运用传统工艺精心制作，使它具有独特的风味。</w:t>
      </w:r>
    </w:p>
    <w:p w14:paraId="38E06A5B">
      <w:pPr>
        <w:spacing w:line="360" w:lineRule="auto"/>
        <w:jc w:val="left"/>
        <w:textAlignment w:val="center"/>
        <w:rPr>
          <w:color w:val="auto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芒市德昂族的酸茶，经过传统工艺制作，具有与众不同的独特风味。</w:t>
      </w:r>
    </w:p>
    <w:p w14:paraId="26087484">
      <w:pPr>
        <w:spacing w:line="360" w:lineRule="auto"/>
        <w:jc w:val="left"/>
        <w:textAlignment w:val="center"/>
        <w:rPr>
          <w:color w:val="000000"/>
        </w:rPr>
      </w:pPr>
      <w:r>
        <w:t xml:space="preserve">D. </w:t>
      </w:r>
      <w:r>
        <w:rPr>
          <w:rFonts w:ascii="宋体" w:hAnsi="宋体" w:eastAsia="宋体" w:cs="宋体"/>
          <w:color w:val="auto"/>
        </w:rPr>
        <w:t>芒市德昂族以传统工艺精心制作的酸茶，具有与众不同的独特风味。</w:t>
      </w:r>
    </w:p>
    <w:p w14:paraId="1BF93D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下列句子的排序，与上下文衔接最恰当的一项是（    ）</w:t>
      </w:r>
    </w:p>
    <w:p w14:paraId="50197D9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好的劳动教育让人终身受益。要实现劳动育人目标，就要上好每一节劳动课，______，______；______，______，______，需要学校、家庭、社会共同努力。</w:t>
      </w:r>
    </w:p>
    <w:p w14:paraId="7DE9D28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①可以让学生在真实的任务情境中，亲历实际的劳动过程</w:t>
      </w:r>
    </w:p>
    <w:p w14:paraId="16560E0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②好的劳动课注重实践，强调身心参与，注重手脑并用</w:t>
      </w:r>
    </w:p>
    <w:p w14:paraId="30FEB5A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③一堂好的劳动课，还要注重教育效果</w:t>
      </w:r>
    </w:p>
    <w:p w14:paraId="6464C1F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④上好劳动课，对课程实施提出了更高的要求</w:t>
      </w:r>
    </w:p>
    <w:p w14:paraId="501EDE8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⑤帮助学生形成自觉的劳动意识，养成良好的劳动习惯</w:t>
      </w:r>
    </w:p>
    <w:p w14:paraId="5833F39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②③①④⑤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④③①②⑤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④③①⑤②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②①③⑤④</w:t>
      </w:r>
    </w:p>
    <w:p w14:paraId="34A702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名篇名句默写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90163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云岭大地山清水秀，景色宜人，民风淳朴。这里湖泊绿波荡漾、水天一色，有如范仲淹《岳阳楼记》中（1）“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”；这里处处芳草如茵、繁花似锦，正如白居易《钱塘湖春行》中（2）“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”；这里百姓生活富足、热情好客，恰如陆游《游山西村》中（3）“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”。</w:t>
      </w:r>
    </w:p>
    <w:p w14:paraId="2F3CB6B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二、综合性学习（7～12题，共12分）</w:t>
      </w:r>
    </w:p>
    <w:p w14:paraId="1EEA452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（一）学习与探究（4分）</w:t>
      </w:r>
    </w:p>
    <w:p w14:paraId="3AED178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近年来，云南省组织多项青少年体育竞赛，30余万青少年参与其中，学校积极响应，举办“阳光校园，乐享运动”体育节。为充分调动同学们参与活动的积极性，确保本班运动员顺利参加比赛，班级拟成立不同的保障组开展服务工作，如：通告组，负责提醒运动员关注参赛相关信息；保健组，负责组织运动员赛前热身及赛后放松。</w:t>
      </w:r>
    </w:p>
    <w:p w14:paraId="34A5690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请你完成以下任务：</w:t>
      </w:r>
    </w:p>
    <w:p w14:paraId="43C6FD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如果由你来统筹安排，你觉得还应该成立什么保障组？该组主要负责哪方面的工作？请举出一例。</w:t>
      </w:r>
    </w:p>
    <w:p w14:paraId="2800AE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通告组要提醒本班运动员小云参加女子跳高比赛，根据秩序册，应该这样说： ______________</w:t>
      </w:r>
    </w:p>
    <w:tbl>
      <w:tblPr>
        <w:tblStyle w:val="4"/>
        <w:tblW w:w="69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915"/>
      </w:tblGrid>
      <w:tr w14:paraId="77B041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69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A31484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秩序册</w:t>
            </w:r>
          </w:p>
          <w:tbl>
            <w:tblPr>
              <w:tblStyle w:val="4"/>
              <w:tblW w:w="6510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120" w:type="dxa"/>
                <w:left w:w="120" w:type="dxa"/>
                <w:bottom w:w="120" w:type="dxa"/>
                <w:right w:w="120" w:type="dxa"/>
              </w:tblCellMar>
            </w:tblPr>
            <w:tblGrid>
              <w:gridCol w:w="1122"/>
              <w:gridCol w:w="1290"/>
              <w:gridCol w:w="1137"/>
              <w:gridCol w:w="1271"/>
              <w:gridCol w:w="1690"/>
            </w:tblGrid>
            <w:tr w14:paraId="65A494F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120" w:type="dxa"/>
                  <w:left w:w="120" w:type="dxa"/>
                  <w:bottom w:w="120" w:type="dxa"/>
                  <w:right w:w="120" w:type="dxa"/>
                </w:tblCellMar>
              </w:tblPrEx>
              <w:trPr>
                <w:trHeight w:val="330" w:hRule="atLeast"/>
              </w:trPr>
              <w:tc>
                <w:tcPr>
                  <w:tcW w:w="1125" w:type="dxa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noWrap w:val="0"/>
                  <w:tcMar>
                    <w:top w:w="75" w:type="dxa"/>
                    <w:bottom w:w="75" w:type="dxa"/>
                  </w:tcMar>
                  <w:vAlign w:val="center"/>
                </w:tcPr>
                <w:p w14:paraId="4FCDAAE1">
                  <w:pPr>
                    <w:spacing w:line="360" w:lineRule="auto"/>
                    <w:jc w:val="left"/>
                    <w:textAlignment w:val="center"/>
                    <w:rPr>
                      <w:color w:val="000000"/>
                    </w:rPr>
                  </w:pPr>
                  <w:r>
                    <w:rPr>
                      <w:rFonts w:ascii="宋体" w:hAnsi="宋体" w:eastAsia="宋体" w:cs="宋体"/>
                      <w:color w:val="000000"/>
                    </w:rPr>
                    <w:t>日期</w:t>
                  </w:r>
                </w:p>
              </w:tc>
              <w:tc>
                <w:tcPr>
                  <w:tcW w:w="1275" w:type="dxa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noWrap w:val="0"/>
                  <w:tcMar>
                    <w:top w:w="75" w:type="dxa"/>
                    <w:bottom w:w="75" w:type="dxa"/>
                  </w:tcMar>
                  <w:vAlign w:val="center"/>
                </w:tcPr>
                <w:p w14:paraId="1DEBCA25">
                  <w:pPr>
                    <w:spacing w:line="360" w:lineRule="auto"/>
                    <w:jc w:val="left"/>
                    <w:textAlignment w:val="center"/>
                    <w:rPr>
                      <w:color w:val="000000"/>
                    </w:rPr>
                  </w:pPr>
                  <w:r>
                    <w:rPr>
                      <w:rFonts w:ascii="宋体" w:hAnsi="宋体" w:eastAsia="宋体" w:cs="宋体"/>
                      <w:color w:val="000000"/>
                    </w:rPr>
                    <w:t>检录时间</w:t>
                  </w:r>
                </w:p>
              </w:tc>
              <w:tc>
                <w:tcPr>
                  <w:tcW w:w="1140" w:type="dxa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noWrap w:val="0"/>
                  <w:tcMar>
                    <w:top w:w="75" w:type="dxa"/>
                    <w:bottom w:w="75" w:type="dxa"/>
                  </w:tcMar>
                  <w:vAlign w:val="center"/>
                </w:tcPr>
                <w:p w14:paraId="7E4F61B2">
                  <w:pPr>
                    <w:spacing w:line="360" w:lineRule="auto"/>
                    <w:jc w:val="left"/>
                    <w:textAlignment w:val="center"/>
                    <w:rPr>
                      <w:color w:val="000000"/>
                    </w:rPr>
                  </w:pPr>
                  <w:r>
                    <w:rPr>
                      <w:rFonts w:ascii="宋体" w:hAnsi="宋体" w:eastAsia="宋体" w:cs="宋体"/>
                      <w:color w:val="000000"/>
                    </w:rPr>
                    <w:t>检录场地</w:t>
                  </w:r>
                </w:p>
              </w:tc>
              <w:tc>
                <w:tcPr>
                  <w:tcW w:w="1275" w:type="dxa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noWrap w:val="0"/>
                  <w:tcMar>
                    <w:top w:w="75" w:type="dxa"/>
                    <w:bottom w:w="75" w:type="dxa"/>
                  </w:tcMar>
                  <w:vAlign w:val="center"/>
                </w:tcPr>
                <w:p w14:paraId="19699C91">
                  <w:pPr>
                    <w:spacing w:line="360" w:lineRule="auto"/>
                    <w:jc w:val="left"/>
                    <w:textAlignment w:val="center"/>
                    <w:rPr>
                      <w:color w:val="000000"/>
                    </w:rPr>
                  </w:pPr>
                  <w:r>
                    <w:rPr>
                      <w:rFonts w:ascii="宋体" w:hAnsi="宋体" w:eastAsia="宋体" w:cs="宋体"/>
                      <w:color w:val="000000"/>
                    </w:rPr>
                    <w:t>比赛场地</w:t>
                  </w:r>
                </w:p>
              </w:tc>
              <w:tc>
                <w:tcPr>
                  <w:tcW w:w="1695" w:type="dxa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noWrap w:val="0"/>
                  <w:tcMar>
                    <w:top w:w="75" w:type="dxa"/>
                    <w:bottom w:w="75" w:type="dxa"/>
                  </w:tcMar>
                  <w:vAlign w:val="center"/>
                </w:tcPr>
                <w:p w14:paraId="0D670154">
                  <w:pPr>
                    <w:spacing w:line="360" w:lineRule="auto"/>
                    <w:jc w:val="left"/>
                    <w:textAlignment w:val="center"/>
                    <w:rPr>
                      <w:color w:val="000000"/>
                    </w:rPr>
                  </w:pPr>
                  <w:r>
                    <w:rPr>
                      <w:rFonts w:ascii="宋体" w:hAnsi="宋体" w:eastAsia="宋体" w:cs="宋体"/>
                      <w:color w:val="000000"/>
                    </w:rPr>
                    <w:t>比赛项目</w:t>
                  </w:r>
                </w:p>
              </w:tc>
            </w:tr>
            <w:tr w14:paraId="03CA13D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120" w:type="dxa"/>
                  <w:left w:w="120" w:type="dxa"/>
                  <w:bottom w:w="120" w:type="dxa"/>
                  <w:right w:w="120" w:type="dxa"/>
                </w:tblCellMar>
              </w:tblPrEx>
              <w:trPr>
                <w:trHeight w:val="330" w:hRule="atLeast"/>
              </w:trPr>
              <w:tc>
                <w:tcPr>
                  <w:tcW w:w="1125" w:type="dxa"/>
                  <w:vMerge w:val="restart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noWrap w:val="0"/>
                  <w:tcMar>
                    <w:top w:w="75" w:type="dxa"/>
                    <w:bottom w:w="75" w:type="dxa"/>
                  </w:tcMar>
                  <w:vAlign w:val="center"/>
                </w:tcPr>
                <w:p w14:paraId="1829901D">
                  <w:pPr>
                    <w:spacing w:line="360" w:lineRule="auto"/>
                    <w:jc w:val="left"/>
                    <w:textAlignment w:val="center"/>
                    <w:rPr>
                      <w:color w:val="000000"/>
                    </w:rPr>
                  </w:pPr>
                  <w:r>
                    <w:rPr>
                      <w:rFonts w:ascii="宋体" w:hAnsi="宋体" w:eastAsia="宋体" w:cs="宋体"/>
                      <w:color w:val="000000"/>
                    </w:rPr>
                    <w:t>5月7日</w:t>
                  </w:r>
                </w:p>
              </w:tc>
              <w:tc>
                <w:tcPr>
                  <w:tcW w:w="1275" w:type="dxa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noWrap w:val="0"/>
                  <w:tcMar>
                    <w:top w:w="75" w:type="dxa"/>
                    <w:bottom w:w="75" w:type="dxa"/>
                  </w:tcMar>
                  <w:vAlign w:val="center"/>
                </w:tcPr>
                <w:p w14:paraId="3FAD265D">
                  <w:pPr>
                    <w:spacing w:line="360" w:lineRule="auto"/>
                    <w:jc w:val="left"/>
                    <w:textAlignment w:val="center"/>
                    <w:rPr>
                      <w:color w:val="000000"/>
                    </w:rPr>
                  </w:pPr>
                  <w:r>
                    <w:rPr>
                      <w:rFonts w:ascii="宋体" w:hAnsi="宋体" w:eastAsia="宋体" w:cs="宋体"/>
                      <w:color w:val="000000"/>
                    </w:rPr>
                    <w:t>8:30—8:45</w:t>
                  </w:r>
                </w:p>
              </w:tc>
              <w:tc>
                <w:tcPr>
                  <w:tcW w:w="1140" w:type="dxa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noWrap w:val="0"/>
                  <w:tcMar>
                    <w:top w:w="75" w:type="dxa"/>
                    <w:bottom w:w="75" w:type="dxa"/>
                  </w:tcMar>
                  <w:vAlign w:val="center"/>
                </w:tcPr>
                <w:p w14:paraId="4E2FC3E5">
                  <w:pPr>
                    <w:spacing w:line="360" w:lineRule="auto"/>
                    <w:jc w:val="left"/>
                    <w:textAlignment w:val="center"/>
                    <w:rPr>
                      <w:color w:val="000000"/>
                    </w:rPr>
                  </w:pPr>
                  <w:r>
                    <w:rPr>
                      <w:rFonts w:ascii="宋体" w:hAnsi="宋体" w:eastAsia="宋体" w:cs="宋体"/>
                      <w:color w:val="000000"/>
                    </w:rPr>
                    <w:t>主席台前</w:t>
                  </w:r>
                </w:p>
              </w:tc>
              <w:tc>
                <w:tcPr>
                  <w:tcW w:w="1275" w:type="dxa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noWrap w:val="0"/>
                  <w:tcMar>
                    <w:top w:w="75" w:type="dxa"/>
                    <w:bottom w:w="75" w:type="dxa"/>
                  </w:tcMar>
                  <w:vAlign w:val="center"/>
                </w:tcPr>
                <w:p w14:paraId="4D943B43">
                  <w:pPr>
                    <w:spacing w:line="360" w:lineRule="auto"/>
                    <w:jc w:val="left"/>
                    <w:textAlignment w:val="center"/>
                    <w:rPr>
                      <w:color w:val="000000"/>
                    </w:rPr>
                  </w:pPr>
                  <w:r>
                    <w:rPr>
                      <w:rFonts w:ascii="宋体" w:hAnsi="宋体" w:eastAsia="宋体" w:cs="宋体"/>
                      <w:color w:val="000000"/>
                    </w:rPr>
                    <w:t>田径场A区</w:t>
                  </w:r>
                </w:p>
              </w:tc>
              <w:tc>
                <w:tcPr>
                  <w:tcW w:w="1695" w:type="dxa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noWrap w:val="0"/>
                  <w:tcMar>
                    <w:top w:w="75" w:type="dxa"/>
                    <w:bottom w:w="75" w:type="dxa"/>
                  </w:tcMar>
                  <w:vAlign w:val="center"/>
                </w:tcPr>
                <w:p w14:paraId="194158D2">
                  <w:pPr>
                    <w:spacing w:line="360" w:lineRule="auto"/>
                    <w:jc w:val="left"/>
                    <w:textAlignment w:val="center"/>
                    <w:rPr>
                      <w:color w:val="000000"/>
                    </w:rPr>
                  </w:pPr>
                  <w:r>
                    <w:rPr>
                      <w:rFonts w:ascii="宋体" w:hAnsi="宋体" w:eastAsia="宋体" w:cs="宋体"/>
                      <w:color w:val="000000"/>
                    </w:rPr>
                    <w:t>男子100米预赛</w:t>
                  </w:r>
                </w:p>
              </w:tc>
            </w:tr>
            <w:tr w14:paraId="66654AA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120" w:type="dxa"/>
                  <w:left w:w="120" w:type="dxa"/>
                  <w:bottom w:w="120" w:type="dxa"/>
                  <w:right w:w="120" w:type="dxa"/>
                </w:tblCellMar>
              </w:tblPrEx>
              <w:trPr>
                <w:trHeight w:val="330" w:hRule="atLeast"/>
              </w:trPr>
              <w:tc>
                <w:tcPr>
                  <w:vMerge w:val="continue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</w:tcPr>
                <w:p w14:paraId="012924C1">
                  <w:pPr>
                    <w:spacing w:line="360" w:lineRule="auto"/>
                    <w:jc w:val="center"/>
                    <w:textAlignment w:val="center"/>
                    <w:rPr>
                      <w:color w:val="000000"/>
                    </w:rPr>
                  </w:pPr>
                </w:p>
              </w:tc>
              <w:tc>
                <w:tcPr>
                  <w:tcW w:w="1275" w:type="dxa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noWrap w:val="0"/>
                  <w:tcMar>
                    <w:top w:w="75" w:type="dxa"/>
                    <w:bottom w:w="75" w:type="dxa"/>
                  </w:tcMar>
                  <w:vAlign w:val="center"/>
                </w:tcPr>
                <w:p w14:paraId="5AD12651">
                  <w:pPr>
                    <w:spacing w:line="360" w:lineRule="auto"/>
                    <w:jc w:val="left"/>
                    <w:textAlignment w:val="center"/>
                    <w:rPr>
                      <w:color w:val="000000"/>
                    </w:rPr>
                  </w:pPr>
                  <w:r>
                    <w:rPr>
                      <w:rFonts w:ascii="宋体" w:hAnsi="宋体" w:eastAsia="宋体" w:cs="宋体"/>
                      <w:color w:val="000000"/>
                    </w:rPr>
                    <w:t>8:45—9:00</w:t>
                  </w:r>
                </w:p>
              </w:tc>
              <w:tc>
                <w:tcPr>
                  <w:tcW w:w="1140" w:type="dxa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noWrap w:val="0"/>
                  <w:tcMar>
                    <w:top w:w="75" w:type="dxa"/>
                    <w:bottom w:w="75" w:type="dxa"/>
                  </w:tcMar>
                  <w:vAlign w:val="center"/>
                </w:tcPr>
                <w:p w14:paraId="276DB369">
                  <w:pPr>
                    <w:spacing w:line="360" w:lineRule="auto"/>
                    <w:jc w:val="left"/>
                    <w:textAlignment w:val="center"/>
                    <w:rPr>
                      <w:color w:val="000000"/>
                    </w:rPr>
                  </w:pPr>
                  <w:r>
                    <w:rPr>
                      <w:rFonts w:ascii="宋体" w:hAnsi="宋体" w:eastAsia="宋体" w:cs="宋体"/>
                      <w:color w:val="000000"/>
                    </w:rPr>
                    <w:t>主席台前</w:t>
                  </w:r>
                </w:p>
              </w:tc>
              <w:tc>
                <w:tcPr>
                  <w:tcW w:w="1275" w:type="dxa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noWrap w:val="0"/>
                  <w:tcMar>
                    <w:top w:w="75" w:type="dxa"/>
                    <w:bottom w:w="75" w:type="dxa"/>
                  </w:tcMar>
                  <w:vAlign w:val="center"/>
                </w:tcPr>
                <w:p w14:paraId="44E0302B">
                  <w:pPr>
                    <w:spacing w:line="360" w:lineRule="auto"/>
                    <w:jc w:val="left"/>
                    <w:textAlignment w:val="center"/>
                    <w:rPr>
                      <w:color w:val="000000"/>
                    </w:rPr>
                  </w:pPr>
                  <w:r>
                    <w:rPr>
                      <w:rFonts w:ascii="宋体" w:hAnsi="宋体" w:eastAsia="宋体" w:cs="宋体"/>
                      <w:color w:val="000000"/>
                    </w:rPr>
                    <w:t>田径场A区</w:t>
                  </w:r>
                </w:p>
              </w:tc>
              <w:tc>
                <w:tcPr>
                  <w:tcW w:w="1695" w:type="dxa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noWrap w:val="0"/>
                  <w:tcMar>
                    <w:top w:w="75" w:type="dxa"/>
                    <w:bottom w:w="75" w:type="dxa"/>
                  </w:tcMar>
                  <w:vAlign w:val="center"/>
                </w:tcPr>
                <w:p w14:paraId="49E63157">
                  <w:pPr>
                    <w:spacing w:line="360" w:lineRule="auto"/>
                    <w:jc w:val="left"/>
                    <w:textAlignment w:val="center"/>
                    <w:rPr>
                      <w:color w:val="000000"/>
                    </w:rPr>
                  </w:pPr>
                  <w:r>
                    <w:rPr>
                      <w:rFonts w:ascii="宋体" w:hAnsi="宋体" w:eastAsia="宋体" w:cs="宋体"/>
                      <w:color w:val="000000"/>
                    </w:rPr>
                    <w:t>女子100米预赛</w:t>
                  </w:r>
                </w:p>
              </w:tc>
            </w:tr>
            <w:tr w14:paraId="658E663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120" w:type="dxa"/>
                  <w:left w:w="120" w:type="dxa"/>
                  <w:bottom w:w="120" w:type="dxa"/>
                  <w:right w:w="120" w:type="dxa"/>
                </w:tblCellMar>
              </w:tblPrEx>
              <w:trPr>
                <w:trHeight w:val="330" w:hRule="atLeast"/>
              </w:trPr>
              <w:tc>
                <w:tcPr>
                  <w:vMerge w:val="continue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</w:tcPr>
                <w:p w14:paraId="520705F0">
                  <w:pPr>
                    <w:spacing w:line="360" w:lineRule="auto"/>
                    <w:jc w:val="center"/>
                    <w:textAlignment w:val="center"/>
                    <w:rPr>
                      <w:color w:val="000000"/>
                    </w:rPr>
                  </w:pPr>
                </w:p>
              </w:tc>
              <w:tc>
                <w:tcPr>
                  <w:tcW w:w="1275" w:type="dxa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noWrap w:val="0"/>
                  <w:tcMar>
                    <w:top w:w="75" w:type="dxa"/>
                    <w:bottom w:w="75" w:type="dxa"/>
                  </w:tcMar>
                  <w:vAlign w:val="center"/>
                </w:tcPr>
                <w:p w14:paraId="177D3B55">
                  <w:pPr>
                    <w:spacing w:line="360" w:lineRule="auto"/>
                    <w:jc w:val="left"/>
                    <w:textAlignment w:val="center"/>
                    <w:rPr>
                      <w:color w:val="000000"/>
                    </w:rPr>
                  </w:pPr>
                  <w:r>
                    <w:rPr>
                      <w:rFonts w:ascii="宋体" w:hAnsi="宋体" w:eastAsia="宋体" w:cs="宋体"/>
                      <w:color w:val="000000"/>
                    </w:rPr>
                    <w:t>9:00—9:15</w:t>
                  </w:r>
                </w:p>
              </w:tc>
              <w:tc>
                <w:tcPr>
                  <w:tcW w:w="1140" w:type="dxa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noWrap w:val="0"/>
                  <w:tcMar>
                    <w:top w:w="75" w:type="dxa"/>
                    <w:bottom w:w="75" w:type="dxa"/>
                  </w:tcMar>
                  <w:vAlign w:val="center"/>
                </w:tcPr>
                <w:p w14:paraId="36442052">
                  <w:pPr>
                    <w:spacing w:line="360" w:lineRule="auto"/>
                    <w:jc w:val="left"/>
                    <w:textAlignment w:val="center"/>
                    <w:rPr>
                      <w:color w:val="000000"/>
                    </w:rPr>
                  </w:pPr>
                  <w:r>
                    <w:rPr>
                      <w:rFonts w:ascii="宋体" w:hAnsi="宋体" w:eastAsia="宋体" w:cs="宋体"/>
                      <w:color w:val="000000"/>
                    </w:rPr>
                    <w:t>主席台前</w:t>
                  </w:r>
                </w:p>
              </w:tc>
              <w:tc>
                <w:tcPr>
                  <w:tcW w:w="1275" w:type="dxa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noWrap w:val="0"/>
                  <w:tcMar>
                    <w:top w:w="75" w:type="dxa"/>
                    <w:bottom w:w="75" w:type="dxa"/>
                  </w:tcMar>
                  <w:vAlign w:val="center"/>
                </w:tcPr>
                <w:p w14:paraId="06F85911">
                  <w:pPr>
                    <w:spacing w:line="360" w:lineRule="auto"/>
                    <w:jc w:val="left"/>
                    <w:textAlignment w:val="center"/>
                    <w:rPr>
                      <w:color w:val="000000"/>
                    </w:rPr>
                  </w:pPr>
                  <w:r>
                    <w:rPr>
                      <w:rFonts w:ascii="宋体" w:hAnsi="宋体" w:eastAsia="宋体" w:cs="宋体"/>
                      <w:color w:val="000000"/>
                    </w:rPr>
                    <w:t>田径场B区</w:t>
                  </w:r>
                </w:p>
              </w:tc>
              <w:tc>
                <w:tcPr>
                  <w:tcW w:w="1695" w:type="dxa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noWrap w:val="0"/>
                  <w:tcMar>
                    <w:top w:w="75" w:type="dxa"/>
                    <w:bottom w:w="75" w:type="dxa"/>
                  </w:tcMar>
                  <w:vAlign w:val="center"/>
                </w:tcPr>
                <w:p w14:paraId="721774E7">
                  <w:pPr>
                    <w:spacing w:line="360" w:lineRule="auto"/>
                    <w:jc w:val="left"/>
                    <w:textAlignment w:val="center"/>
                    <w:rPr>
                      <w:color w:val="000000"/>
                    </w:rPr>
                  </w:pPr>
                  <w:r>
                    <w:rPr>
                      <w:rFonts w:ascii="宋体" w:hAnsi="宋体" w:eastAsia="宋体" w:cs="宋体"/>
                      <w:color w:val="000000"/>
                    </w:rPr>
                    <w:t>女子跳高比赛</w:t>
                  </w:r>
                </w:p>
              </w:tc>
            </w:tr>
            <w:tr w14:paraId="5596097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120" w:type="dxa"/>
                  <w:left w:w="120" w:type="dxa"/>
                  <w:bottom w:w="120" w:type="dxa"/>
                  <w:right w:w="120" w:type="dxa"/>
                </w:tblCellMar>
              </w:tblPrEx>
              <w:trPr>
                <w:trHeight w:val="330" w:hRule="atLeast"/>
              </w:trPr>
              <w:tc>
                <w:tcPr>
                  <w:vMerge w:val="continue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</w:tcPr>
                <w:p w14:paraId="2FDE794E">
                  <w:pPr>
                    <w:spacing w:line="360" w:lineRule="auto"/>
                    <w:jc w:val="center"/>
                    <w:textAlignment w:val="center"/>
                    <w:rPr>
                      <w:color w:val="000000"/>
                    </w:rPr>
                  </w:pPr>
                </w:p>
              </w:tc>
              <w:tc>
                <w:tcPr>
                  <w:tcW w:w="1275" w:type="dxa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noWrap w:val="0"/>
                  <w:tcMar>
                    <w:top w:w="75" w:type="dxa"/>
                    <w:bottom w:w="75" w:type="dxa"/>
                  </w:tcMar>
                  <w:vAlign w:val="center"/>
                </w:tcPr>
                <w:p w14:paraId="75E7F47E">
                  <w:pPr>
                    <w:spacing w:line="360" w:lineRule="auto"/>
                    <w:jc w:val="left"/>
                    <w:textAlignment w:val="center"/>
                    <w:rPr>
                      <w:color w:val="000000"/>
                    </w:rPr>
                  </w:pPr>
                  <w:r>
                    <w:rPr>
                      <w:rFonts w:ascii="宋体" w:hAnsi="宋体" w:eastAsia="宋体" w:cs="宋体"/>
                      <w:color w:val="000000"/>
                    </w:rPr>
                    <w:t>9:15—9:30</w:t>
                  </w:r>
                </w:p>
              </w:tc>
              <w:tc>
                <w:tcPr>
                  <w:tcW w:w="1140" w:type="dxa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noWrap w:val="0"/>
                  <w:tcMar>
                    <w:top w:w="75" w:type="dxa"/>
                    <w:bottom w:w="75" w:type="dxa"/>
                  </w:tcMar>
                  <w:vAlign w:val="center"/>
                </w:tcPr>
                <w:p w14:paraId="2AF68C88">
                  <w:pPr>
                    <w:spacing w:line="360" w:lineRule="auto"/>
                    <w:jc w:val="left"/>
                    <w:textAlignment w:val="center"/>
                    <w:rPr>
                      <w:color w:val="000000"/>
                    </w:rPr>
                  </w:pPr>
                  <w:r>
                    <w:rPr>
                      <w:rFonts w:ascii="宋体" w:hAnsi="宋体" w:eastAsia="宋体" w:cs="宋体"/>
                      <w:color w:val="000000"/>
                    </w:rPr>
                    <w:t>主席台前</w:t>
                  </w:r>
                </w:p>
              </w:tc>
              <w:tc>
                <w:tcPr>
                  <w:tcW w:w="1275" w:type="dxa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noWrap w:val="0"/>
                  <w:tcMar>
                    <w:top w:w="75" w:type="dxa"/>
                    <w:bottom w:w="75" w:type="dxa"/>
                  </w:tcMar>
                  <w:vAlign w:val="center"/>
                </w:tcPr>
                <w:p w14:paraId="01860E87">
                  <w:pPr>
                    <w:spacing w:line="360" w:lineRule="auto"/>
                    <w:jc w:val="left"/>
                    <w:textAlignment w:val="center"/>
                    <w:rPr>
                      <w:color w:val="000000"/>
                    </w:rPr>
                  </w:pPr>
                  <w:r>
                    <w:rPr>
                      <w:rFonts w:ascii="宋体" w:hAnsi="宋体" w:eastAsia="宋体" w:cs="宋体"/>
                      <w:color w:val="000000"/>
                    </w:rPr>
                    <w:t>田径场C区</w:t>
                  </w:r>
                </w:p>
              </w:tc>
              <w:tc>
                <w:tcPr>
                  <w:tcW w:w="1695" w:type="dxa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noWrap w:val="0"/>
                  <w:tcMar>
                    <w:top w:w="75" w:type="dxa"/>
                    <w:bottom w:w="75" w:type="dxa"/>
                  </w:tcMar>
                  <w:vAlign w:val="center"/>
                </w:tcPr>
                <w:p w14:paraId="070F8535">
                  <w:pPr>
                    <w:spacing w:line="360" w:lineRule="auto"/>
                    <w:jc w:val="left"/>
                    <w:textAlignment w:val="center"/>
                    <w:rPr>
                      <w:color w:val="000000"/>
                    </w:rPr>
                  </w:pPr>
                  <w:r>
                    <w:rPr>
                      <w:rFonts w:ascii="宋体" w:hAnsi="宋体" w:eastAsia="宋体" w:cs="宋体"/>
                      <w:color w:val="000000"/>
                    </w:rPr>
                    <w:t>男子跳远比赛</w:t>
                  </w:r>
                </w:p>
              </w:tc>
            </w:tr>
          </w:tbl>
          <w:p w14:paraId="51F66DB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</w:tr>
    </w:tbl>
    <w:p w14:paraId="3AA776D6">
      <w:pPr>
        <w:spacing w:line="360" w:lineRule="auto"/>
        <w:jc w:val="left"/>
        <w:textAlignment w:val="center"/>
        <w:rPr>
          <w:color w:val="000000"/>
        </w:rPr>
      </w:pPr>
    </w:p>
    <w:p w14:paraId="0D39F54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（二）名著阅读（4分）</w:t>
      </w:r>
    </w:p>
    <w:p w14:paraId="0496F7F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九年级举办“重读经典，温故知新”读书活动，请你参加。</w:t>
      </w:r>
    </w:p>
    <w:p w14:paraId="171DBB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结合《朝花夕拾》的内容，谈谈你对书中回忆性散文叙述视角的理解。</w:t>
      </w:r>
    </w:p>
    <w:p w14:paraId="2F4144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鲁迅儿时喜欢描摹的《西游记》人物绣像，其中不乏智者形象。假如以“智”为主题制作名著人物绣像册，你会推荐下列名著中的哪一位人物？请说明理由。</w:t>
      </w:r>
    </w:p>
    <w:p w14:paraId="0D16901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《水浒传》    《红星照耀中国》    《海底两万里》</w:t>
      </w:r>
    </w:p>
    <w:p w14:paraId="5375F59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（三）书法临写与鉴赏（4分）</w:t>
      </w:r>
    </w:p>
    <w:p w14:paraId="443052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仔细观察下面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书法作品，从中挑选八个不同的简体汉字，用正楷临写在田字格内。</w:t>
      </w:r>
    </w:p>
    <w:p w14:paraId="1B72EA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000125" cy="191452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191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drawing>
          <wp:inline distT="0" distB="0" distL="114300" distR="114300">
            <wp:extent cx="1876425" cy="1143000"/>
            <wp:effectExtent l="0" t="0" r="9525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876425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D07C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赵孟頫的书法有“精工整练，潇散闲逸，形态妩媚，韵致十足”的特点，下列属于其作品的一项是（    ）</w:t>
      </w:r>
    </w:p>
    <w:p w14:paraId="40A9F0C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1085850" cy="1362075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933450" cy="1285875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857250" cy="133350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971550" cy="135255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3319E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三、阅读（13～25题，共32分）</w:t>
      </w:r>
    </w:p>
    <w:p w14:paraId="33B5DEB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（一）（4分）</w:t>
      </w:r>
    </w:p>
    <w:p w14:paraId="3D88BA0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阅读下面宋词，完成下面小题。</w:t>
      </w:r>
    </w:p>
    <w:p w14:paraId="2B4A4255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定风波</w:t>
      </w:r>
    </w:p>
    <w:p w14:paraId="71C31D07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苏轼</w:t>
      </w:r>
    </w:p>
    <w:p w14:paraId="24F0B9B6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三月七日，沙湖道中遇雨，雨具先去，同行皆狼狈，余独不觉。已而遂晴，故作此词。</w:t>
      </w:r>
    </w:p>
    <w:p w14:paraId="216771F9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莫听穿林打叶声，何妨吟啸且徐行。竹杖芒鞋轻胜马，谁怕？一蓑烟雨任平生。</w:t>
      </w:r>
    </w:p>
    <w:p w14:paraId="6D00552A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料峭春风吹酒醒，微冷，山头斜照却相迎。回首向来萧瑟处，归去，也无风雨也无晴。</w:t>
      </w:r>
    </w:p>
    <w:p w14:paraId="74763B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对这首词的理解和赏析，</w:t>
      </w:r>
      <w:r>
        <w:rPr>
          <w:rFonts w:ascii="宋体" w:hAnsi="宋体" w:eastAsia="宋体" w:cs="宋体"/>
          <w:color w:val="000000"/>
          <w:em w:val="dot"/>
        </w:rPr>
        <w:t>不恰当</w:t>
      </w:r>
      <w:r>
        <w:rPr>
          <w:rFonts w:ascii="宋体" w:hAnsi="宋体" w:eastAsia="宋体" w:cs="宋体"/>
          <w:color w:val="000000"/>
        </w:rPr>
        <w:t>的一项是（    ）</w:t>
      </w:r>
    </w:p>
    <w:p w14:paraId="059500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序文中“不觉”，表明词人知道紧张狼狈于事无补，所以淡然面对不期而至的风雨。</w:t>
      </w:r>
    </w:p>
    <w:p w14:paraId="31B5D2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“穿林打叶声”从听觉角度描绘雨骤风急，“莫听”则写出词人不为风雨所动的洒脱。</w:t>
      </w:r>
    </w:p>
    <w:p w14:paraId="4EF5C0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“料峭”与“微冷”，突出词人现实感受到的寒意，也表现出了他内心的孤寂和凄凉。</w:t>
      </w:r>
    </w:p>
    <w:p w14:paraId="543D43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“山头斜照却相迎”运用拟人的修辞手法，“相迎”赋予山头斜阳人的动作和情态。</w:t>
      </w:r>
    </w:p>
    <w:p w14:paraId="135DCA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词中的“谁怕”与王安石《登飞来峰》中的“不畏”意思相近，但表达的情感不同。请结合两位作者的人生经历，简要分析两个词语所表达情感的不同之处。</w:t>
      </w:r>
    </w:p>
    <w:p w14:paraId="44ABFAA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（二）（10分）</w:t>
      </w:r>
    </w:p>
    <w:p w14:paraId="7671002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阅读下面文言文，完成下面小题。</w:t>
      </w:r>
    </w:p>
    <w:p w14:paraId="3713211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【甲】</w:t>
      </w:r>
    </w:p>
    <w:p w14:paraId="4D25CD7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自三峡七百里中，两岸连山，略无</w:t>
      </w:r>
      <w:r>
        <w:rPr>
          <w:rFonts w:ascii="楷体" w:hAnsi="楷体" w:eastAsia="楷体" w:cs="楷体"/>
          <w:color w:val="000000"/>
          <w:em w:val="dot"/>
        </w:rPr>
        <w:t>阙</w:t>
      </w:r>
      <w:r>
        <w:rPr>
          <w:rFonts w:ascii="楷体" w:hAnsi="楷体" w:eastAsia="楷体" w:cs="楷体"/>
          <w:color w:val="000000"/>
        </w:rPr>
        <w:t>处。重岩叠嶂，隐天蔽日，自非亭午夜分，不见曦月。</w:t>
      </w:r>
    </w:p>
    <w:p w14:paraId="57A42EF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至于夏水</w:t>
      </w:r>
      <w:r>
        <w:rPr>
          <w:rFonts w:ascii="楷体" w:hAnsi="楷体" w:eastAsia="楷体" w:cs="楷体"/>
          <w:color w:val="000000"/>
          <w:em w:val="dot"/>
        </w:rPr>
        <w:t>襄</w:t>
      </w:r>
      <w:r>
        <w:rPr>
          <w:rFonts w:ascii="楷体" w:hAnsi="楷体" w:eastAsia="楷体" w:cs="楷体"/>
          <w:color w:val="000000"/>
        </w:rPr>
        <w:t>陵，沿溯阻绝。或王命急宣，有时朝发白帝，暮到江陵，其间千二百里，</w:t>
      </w:r>
      <w:r>
        <w:rPr>
          <w:rFonts w:ascii="楷体" w:hAnsi="楷体" w:eastAsia="楷体" w:cs="楷体"/>
          <w:color w:val="000000"/>
          <w:u w:val="single"/>
        </w:rPr>
        <w:t>虽乘奔御风，不以疾也。</w:t>
      </w:r>
    </w:p>
    <w:p w14:paraId="3D6E234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春冬之时，则素湍绿潭，回清倒影，绝</w:t>
      </w:r>
      <w:r>
        <w:rPr>
          <w:color w:val="000000"/>
        </w:rPr>
        <w:t>𪩘</w:t>
      </w:r>
      <w:r>
        <w:rPr>
          <w:rFonts w:ascii="楷体" w:hAnsi="楷体" w:eastAsia="楷体" w:cs="楷体"/>
          <w:color w:val="000000"/>
        </w:rPr>
        <w:t>多生怪柏，悬泉瀑布，飞漱其间，清荣峻茂，良多趣味。</w:t>
      </w:r>
    </w:p>
    <w:p w14:paraId="33D6B38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每至晴初霜旦，林寒涧肃，常有高猿长啸，属引凄异，空谷传响，哀转久绝。故渔者歌曰：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巴东三峡巫峡长，猿鸣三声泪沾裳。</w:t>
      </w:r>
      <w:r>
        <w:rPr>
          <w:rFonts w:ascii="宋体" w:hAnsi="宋体" w:eastAsia="宋体" w:cs="宋体"/>
          <w:color w:val="000000"/>
        </w:rPr>
        <w:t>”</w:t>
      </w:r>
    </w:p>
    <w:p w14:paraId="27226005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（郦道元《三峡》）</w:t>
      </w:r>
    </w:p>
    <w:p w14:paraId="19D59BA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95250" cy="171450"/>
            <wp:effectExtent l="0" t="0" r="0" b="0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乙】</w:t>
      </w:r>
    </w:p>
    <w:p w14:paraId="53ECD74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乍入谷，未有奇。沿溪曲折行数里，草木渐秀润，山竦出，崭然露芒角。水声锵然鸣两峰间，心始</w:t>
      </w:r>
      <w:r>
        <w:rPr>
          <w:rFonts w:ascii="楷体" w:hAnsi="楷体" w:eastAsia="楷体" w:cs="楷体"/>
          <w:color w:val="000000"/>
          <w:em w:val="dot"/>
        </w:rPr>
        <w:t>异</w:t>
      </w:r>
      <w:r>
        <w:rPr>
          <w:rFonts w:ascii="楷体" w:hAnsi="楷体" w:eastAsia="楷体" w:cs="楷体"/>
          <w:color w:val="000000"/>
        </w:rPr>
        <w:t>之，又盘山行十许里，四山忽合，若拱而提</w:t>
      </w:r>
      <w:r>
        <w:rPr>
          <w:rFonts w:ascii="Cambria Math" w:hAnsi="Cambria Math" w:eastAsia="Cambria Math" w:cs="Cambria Math"/>
          <w:color w:val="000000"/>
          <w:vertAlign w:val="superscript"/>
        </w:rPr>
        <w:t>①</w:t>
      </w:r>
      <w:r>
        <w:rPr>
          <w:rFonts w:ascii="楷体" w:hAnsi="楷体" w:eastAsia="楷体" w:cs="楷体"/>
          <w:color w:val="000000"/>
        </w:rPr>
        <w:t>、</w:t>
      </w:r>
      <w:r>
        <w:rPr>
          <w:rFonts w:ascii="楷体" w:hAnsi="楷体" w:eastAsia="楷体" w:cs="楷体"/>
          <w:color w:val="000000"/>
          <w:em w:val="dot"/>
        </w:rPr>
        <w:t>环</w:t>
      </w:r>
      <w:r>
        <w:rPr>
          <w:rFonts w:ascii="楷体" w:hAnsi="楷体" w:eastAsia="楷体" w:cs="楷体"/>
          <w:color w:val="000000"/>
        </w:rPr>
        <w:t>而卫者。嘉木奇卉被之，葱茜浓郁。又行数里，得泉之泓澄渟溜者焉</w:t>
      </w:r>
      <w:r>
        <w:rPr>
          <w:rFonts w:ascii="Cambria Math" w:hAnsi="Cambria Math" w:eastAsia="Cambria Math" w:cs="Cambria Math"/>
          <w:color w:val="000000"/>
          <w:vertAlign w:val="superscript"/>
        </w:rPr>
        <w:t>②</w:t>
      </w:r>
      <w:r>
        <w:rPr>
          <w:rFonts w:ascii="楷体" w:hAnsi="楷体" w:eastAsia="楷体" w:cs="楷体"/>
          <w:color w:val="000000"/>
        </w:rPr>
        <w:t>。洑</w:t>
      </w:r>
      <w:r>
        <w:rPr>
          <w:rFonts w:ascii="Cambria Math" w:hAnsi="Cambria Math" w:eastAsia="Cambria Math" w:cs="Cambria Math"/>
          <w:color w:val="000000"/>
          <w:vertAlign w:val="superscript"/>
        </w:rPr>
        <w:t>③</w:t>
      </w:r>
      <w:r>
        <w:rPr>
          <w:rFonts w:ascii="楷体" w:hAnsi="楷体" w:eastAsia="楷体" w:cs="楷体"/>
          <w:color w:val="000000"/>
        </w:rPr>
        <w:t>出石罅</w:t>
      </w:r>
      <w:r>
        <w:rPr>
          <w:rFonts w:ascii="Cambria Math" w:hAnsi="Cambria Math" w:eastAsia="Cambria Math" w:cs="Cambria Math"/>
          <w:color w:val="000000"/>
          <w:vertAlign w:val="superscript"/>
        </w:rPr>
        <w:t>④</w:t>
      </w:r>
      <w:r>
        <w:rPr>
          <w:rFonts w:ascii="楷体" w:hAnsi="楷体" w:eastAsia="楷体" w:cs="楷体"/>
          <w:color w:val="000000"/>
        </w:rPr>
        <w:t>，激而为迅流者焉。阴木荫其颠</w:t>
      </w:r>
      <w:r>
        <w:rPr>
          <w:rFonts w:ascii="Cambria Math" w:hAnsi="Cambria Math" w:eastAsia="Cambria Math" w:cs="Cambria Math"/>
          <w:color w:val="000000"/>
          <w:vertAlign w:val="superscript"/>
        </w:rPr>
        <w:t>⑤</w:t>
      </w:r>
      <w:r>
        <w:rPr>
          <w:rFonts w:ascii="楷体" w:hAnsi="楷体" w:eastAsia="楷体" w:cs="楷体"/>
          <w:color w:val="000000"/>
        </w:rPr>
        <w:t>，幽草缭其趾</w:t>
      </w:r>
      <w:r>
        <w:rPr>
          <w:rFonts w:ascii="Cambria Math" w:hAnsi="Cambria Math" w:eastAsia="Cambria Math" w:cs="Cambria Math"/>
          <w:color w:val="000000"/>
          <w:vertAlign w:val="superscript"/>
        </w:rPr>
        <w:t>⑥</w:t>
      </w:r>
      <w:r>
        <w:rPr>
          <w:rFonts w:ascii="楷体" w:hAnsi="楷体" w:eastAsia="楷体" w:cs="楷体"/>
          <w:color w:val="000000"/>
        </w:rPr>
        <w:t>。</w:t>
      </w:r>
      <w:r>
        <w:rPr>
          <w:rFonts w:ascii="楷体" w:hAnsi="楷体" w:eastAsia="楷体" w:cs="楷体"/>
          <w:color w:val="000000"/>
          <w:u w:val="single"/>
        </w:rPr>
        <w:t>宾欲休，咸曰：</w:t>
      </w:r>
      <w:r>
        <w:rPr>
          <w:rFonts w:ascii="宋体" w:hAnsi="宋体" w:eastAsia="宋体" w:cs="宋体"/>
          <w:color w:val="000000"/>
          <w:u w:val="single"/>
        </w:rPr>
        <w:t>“</w:t>
      </w:r>
      <w:r>
        <w:rPr>
          <w:rFonts w:ascii="楷体" w:hAnsi="楷体" w:eastAsia="楷体" w:cs="楷体"/>
          <w:color w:val="000000"/>
          <w:u w:val="single"/>
        </w:rPr>
        <w:t>莫此地为宜。</w:t>
      </w:r>
      <w:r>
        <w:rPr>
          <w:rFonts w:ascii="宋体" w:hAnsi="宋体" w:eastAsia="宋体" w:cs="宋体"/>
          <w:color w:val="000000"/>
          <w:u w:val="single"/>
        </w:rPr>
        <w:t>”</w:t>
      </w:r>
    </w:p>
    <w:p w14:paraId="3E57F767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（节选自麻革《游龙山记》）</w:t>
      </w:r>
    </w:p>
    <w:p w14:paraId="24ACAA0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【注释】①提：同“揖”，拱手行礼。②得泉之泓澄渟溜者焉：发现一股泉水，水深而清澈，聚为池塘，缓缓流动。③洑（</w:t>
      </w:r>
      <w:r>
        <w:rPr>
          <w:rFonts w:ascii="Times New Roman" w:hAnsi="Times New Roman" w:eastAsia="Times New Roman" w:cs="Times New Roman"/>
          <w:color w:val="000000"/>
        </w:rPr>
        <w:t>fú</w:t>
      </w:r>
      <w:r>
        <w:rPr>
          <w:rFonts w:ascii="宋体" w:hAnsi="宋体" w:eastAsia="宋体" w:cs="宋体"/>
          <w:color w:val="000000"/>
        </w:rPr>
        <w:t>）：同“伏”，水伏流地下。④罅（</w:t>
      </w:r>
      <w:r>
        <w:rPr>
          <w:rFonts w:ascii="Times New Roman" w:hAnsi="Times New Roman" w:eastAsia="Times New Roman" w:cs="Times New Roman"/>
          <w:color w:val="000000"/>
        </w:rPr>
        <w:t>xià</w:t>
      </w:r>
      <w:r>
        <w:rPr>
          <w:rFonts w:ascii="宋体" w:hAnsi="宋体" w:eastAsia="宋体" w:cs="宋体"/>
          <w:color w:val="000000"/>
        </w:rPr>
        <w:t>）：缝隙。⑤颠：上方。⑥趾：岸边。</w:t>
      </w:r>
    </w:p>
    <w:p w14:paraId="70366A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解释下列句子中加点词的意思。</w:t>
      </w:r>
    </w:p>
    <w:p w14:paraId="20D8924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（1）略无</w:t>
      </w:r>
      <w:r>
        <w:rPr>
          <w:rFonts w:ascii="宋体" w:hAnsi="宋体" w:eastAsia="宋体" w:cs="宋体"/>
          <w:color w:val="000000"/>
          <w:em w:val="dot"/>
        </w:rPr>
        <w:t>阙</w:t>
      </w:r>
      <w:r>
        <w:rPr>
          <w:rFonts w:ascii="宋体" w:hAnsi="宋体" w:eastAsia="宋体" w:cs="宋体"/>
          <w:color w:val="000000"/>
        </w:rPr>
        <w:t>处  阙：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 xml:space="preserve">  （2）至于夏水</w:t>
      </w:r>
      <w:r>
        <w:rPr>
          <w:rFonts w:ascii="宋体" w:hAnsi="宋体" w:eastAsia="宋体" w:cs="宋体"/>
          <w:color w:val="000000"/>
          <w:em w:val="dot"/>
        </w:rPr>
        <w:t>襄</w:t>
      </w:r>
      <w:r>
        <w:rPr>
          <w:rFonts w:ascii="宋体" w:hAnsi="宋体" w:eastAsia="宋体" w:cs="宋体"/>
          <w:color w:val="000000"/>
        </w:rPr>
        <w:t>陵  襄：</w:t>
      </w:r>
      <w:r>
        <w:rPr>
          <w:color w:val="000000"/>
        </w:rPr>
        <w:t>______</w:t>
      </w:r>
    </w:p>
    <w:p w14:paraId="382928A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（3）心始</w:t>
      </w:r>
      <w:r>
        <w:rPr>
          <w:rFonts w:ascii="宋体" w:hAnsi="宋体" w:eastAsia="宋体" w:cs="宋体"/>
          <w:color w:val="000000"/>
          <w:em w:val="dot"/>
        </w:rPr>
        <w:t>异</w:t>
      </w:r>
      <w:r>
        <w:rPr>
          <w:rFonts w:ascii="宋体" w:hAnsi="宋体" w:eastAsia="宋体" w:cs="宋体"/>
          <w:color w:val="000000"/>
        </w:rPr>
        <w:t>之  异：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 xml:space="preserve">  （4）</w:t>
      </w:r>
      <w:r>
        <w:rPr>
          <w:rFonts w:ascii="宋体" w:hAnsi="宋体" w:eastAsia="宋体" w:cs="宋体"/>
          <w:color w:val="000000"/>
          <w:em w:val="dot"/>
        </w:rPr>
        <w:t>环</w:t>
      </w:r>
      <w:r>
        <w:rPr>
          <w:rFonts w:ascii="宋体" w:hAnsi="宋体" w:eastAsia="宋体" w:cs="宋体"/>
          <w:color w:val="000000"/>
        </w:rPr>
        <w:t>而卫者      环：</w:t>
      </w:r>
      <w:r>
        <w:rPr>
          <w:color w:val="000000"/>
        </w:rPr>
        <w:t>______</w:t>
      </w:r>
    </w:p>
    <w:p w14:paraId="37CF72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用现代汉语翻译下列句子。</w:t>
      </w:r>
    </w:p>
    <w:p w14:paraId="6C754F0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（1）虽乘奔御风，不以疾也。</w:t>
      </w:r>
    </w:p>
    <w:p w14:paraId="7845C11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（2）宾欲休，咸曰：“莫此地为宜。”</w:t>
      </w:r>
    </w:p>
    <w:p w14:paraId="61F253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甲文描写三峡秋季景色却不见“秋”字，作者是如何表现三峡秋季特点的？</w:t>
      </w:r>
    </w:p>
    <w:p w14:paraId="0A3E4D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甲乙两文所描绘的山的形态有哪些共同特征？请简要分析。</w:t>
      </w:r>
    </w:p>
    <w:p w14:paraId="27D2DFA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（三）（7分）</w:t>
      </w:r>
    </w:p>
    <w:p w14:paraId="7CDC45D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阅读下面文章，完成下面小题。</w:t>
      </w:r>
    </w:p>
    <w:p w14:paraId="3BB5B7A3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坐热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冷板凳</w:t>
      </w:r>
      <w:r>
        <w:rPr>
          <w:rFonts w:ascii="宋体" w:hAnsi="宋体" w:eastAsia="宋体" w:cs="宋体"/>
          <w:color w:val="000000"/>
        </w:rPr>
        <w:t>”</w:t>
      </w:r>
    </w:p>
    <w:p w14:paraId="799A8F50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李昌禹</w:t>
      </w:r>
    </w:p>
    <w:p w14:paraId="5DF9B75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时而潇洒一笑，时而英气逼人，仿佛从书卷中走出的倜傥公子，90后越剧演员陈丽君，凭借纯熟的演技火出了圈。过去学戏的18年里，别人在休息时，她时常还在压腿、下腰、练台步，为台上呈现的那一刻做准备。面对突然的爆火，陈丽君在接受采访时说：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越剧的舞台不大，主要的人物就一两个，不知道什么时候轮得到自己。就为了热爱两个字，才愿意在这里坐冷板凳，坚持着。</w:t>
      </w:r>
      <w:r>
        <w:rPr>
          <w:rFonts w:ascii="宋体" w:hAnsi="宋体" w:eastAsia="宋体" w:cs="宋体"/>
          <w:color w:val="000000"/>
        </w:rPr>
        <w:t>”</w:t>
      </w:r>
    </w:p>
    <w:p w14:paraId="1BADA1D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年轻人最需要坐得住冷板凳。处于事业起步阶段的年轻人，难免会遭遇一段时期内坐冷板凳的状况。有的人能够泰然处之，耐得住寂寞、忍得了冷清、沉得下心境，把冷板凳坐得有温度、有宽度、有高度；有的人则不愿、不敢、不屑坐冷板凳，吃不得苦，受不得累，只想做看得见、摸得着的事，不愿做打基础、利长远的事，在拈轻怕重中蹉跎岁月．</w:t>
      </w:r>
    </w:p>
    <w:p w14:paraId="1FC51AD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③愿意坐冷板凳，凭的是执着的信念、超脱的心态。如此方能将冷板凳坐得住、坐得稳。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国家的需要、就是我的志愿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敦煌儿女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樊锦诗从大学毕业起就扎根大漠，几十年如一日，静心笃志、潜心研究敦煌文物。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杂交水稻之父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袁隆平，为实现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让杂交水稻覆盖全球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的梦想，一辈子致力于杂交水稻技术的研究、应用、推广。他们在冷板凳上一坐就是大半辈子，长期默默无闻、鲜为人知，却能淡泊名利、潜心做事。这种可贵可敬的品质，堪称青年人的标杆。</w:t>
      </w:r>
    </w:p>
    <w:p w14:paraId="7B4B72C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④不怕板凳坐不热，就怕板凳没人坐。那些心态浮躁，动辄为名所困、被利所惑，或受杂念所累、为外物所扰的人，是坐不了冷板凳的，更遑论把冷板凳坐热。</w:t>
      </w:r>
    </w:p>
    <w:p w14:paraId="5312452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⑤冷板凳要坐热，要有稳扎稳打、久久为功的毅力恒心。中国科学院院士葛均波曾表示，每一项国家科技奖背后，都是科学家们平均16年的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坐冷板凳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。坐定了冷板凳，便没有捷径可走，在日积月累中厚积薄发，才是把板凳坐热的不二法门。有的人当初愿意坐冷板凳，也能坐冷板凳，可时间一长，经不起困难和挫折的考验，日渐失去昔日奋进、拼搏的斗志，沦为熬资历、混日子的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老板凳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做一天和尚撞一天钟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，终归无所成就。</w:t>
      </w:r>
    </w:p>
    <w:p w14:paraId="1974095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其实，坐热冷板凳的过程，也是一个潜心修为、提升自我能力的过程。著名的京剧表演艺术家盖叫天最能练苦功，他8岁学戏，70多岁高龄时，仍夏练三伏，冬练三九，从不间断。高空苍鹰的昂然英姿，风吹树动的优美姿态，都是他揣摩身段动作的灵感来源。这种用心揣摩、长期苦练的精神，值得后辈学习。</w:t>
      </w:r>
    </w:p>
    <w:p w14:paraId="464C4FD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⑦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板凳要坐十年冷，文章不写一句空。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说的虽然是做学问，但做人做事的道理大抵如此。坐得住冷板凳，才换得来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热沙发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。能够把冷活做实、冷事做热、冷门做火，练就看家本领，成功自然会热情而至。</w:t>
      </w:r>
    </w:p>
    <w:p w14:paraId="487C903D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（选自2024年4月《人民日报》，有删改）</w:t>
      </w:r>
    </w:p>
    <w:p w14:paraId="0AE0DA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如何才能坐热“冷板凳”？请根据文意简要概括。</w:t>
      </w:r>
    </w:p>
    <w:p w14:paraId="30D450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请简要分析文章第②段的论证思路。</w:t>
      </w:r>
    </w:p>
    <w:p w14:paraId="658FFC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如果以邓稼先的事迹为论据，放在文中哪一段最合适？请为该段拟写这个事实论据。</w:t>
      </w:r>
    </w:p>
    <w:p w14:paraId="79475AC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（四）（11分）</w:t>
      </w:r>
    </w:p>
    <w:p w14:paraId="1F20E8A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阅读下面文章，完成下面小题。</w:t>
      </w:r>
    </w:p>
    <w:p w14:paraId="475C5DC7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沉默的守望</w:t>
      </w:r>
    </w:p>
    <w:p w14:paraId="448CF87B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梅世雄  郑茂琦</w:t>
      </w:r>
    </w:p>
    <w:p w14:paraId="7AC2A10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①这里的一切都是土黄色的，唯有天上的白云，长长的一条挂在山尖。</w:t>
      </w:r>
    </w:p>
    <w:p w14:paraId="248242B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②我们边防连驻扎在河谷，战士们每天都要上山巡逻。巡逻路上，有一个连续下坡的急弯，路面常年结冰，路边立着一块墓碑。墓碑简易朴实，但周围十分整洁，这里安葬着4名烈士。战士们常来扫墓，把长长的、洁白的哈达系在墓碑上，表达最崇高的敬意。</w:t>
      </w:r>
    </w:p>
    <w:p w14:paraId="3E6E145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③山脚下，有一家小小的茶馆。石砌的屋子四处漏风，几把破旧的桌椅擦得锃亮，所有物品都整齐有序，倒是有几分军营的味道。坐在那个靠窗的位置上，天气好时，能看到一条薄薄的云带围在山尖。</w:t>
      </w:r>
    </w:p>
    <w:p w14:paraId="4B40D1A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④茶馆是一个跛脚的汉族大叔开的，大家都叫他老赵，指导员却喊他赵哥。老赵头戴一顶摘掉帽徽的军帽，上身穿着一件藏袍，下身是一条旧军裤。黑里透红的脸被岁月犁出了道道深沟，满脸褶皱中隐约可见几道伤疤。走路虽然一瘸一瘸的，但他的脊背依然挺得笔直。没客人的时候，老赵会久久地坐在窗前。</w:t>
      </w:r>
    </w:p>
    <w:p w14:paraId="02B4F83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⑤我们乘车到县里办事，正好老赵也要到县里看病。指导员说，把老赵捎上，万一路上有情况老赵也能帮衬。</w:t>
      </w:r>
    </w:p>
    <w:p w14:paraId="6E6FE79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⑥从连队到县里，路上需要翻越好几个海拔5000多米的山口。阿里地区的天，像小孩的脸，说变就变。上午出发还阳光灿烂，越往山上走，风越大，不一会儿竟飘起了雪。老赵摇下车窗，看了看山顶，一片雾蒙蒙，又嗅了嗅冷飕飕的空气，说，估计过不去了。</w:t>
      </w:r>
    </w:p>
    <w:p w14:paraId="0A4DC31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⑦果然，山口上漫天风雪，已经积了厚厚的一层雪。悬崖边，有一辆越野车已经陷进了雪沟，动弹不得。我们赶忙拿出铲子，清除越野车周边的积雪。尽管腿脚不方便，老赵却冲锋在前。经过一个多小时的奋战，老乡的车辆终于脱困下山。</w:t>
      </w:r>
    </w:p>
    <w:p w14:paraId="27F58B3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⑧前行道路已经阻断了，老赵联系了乡里负责道路保通的道班，我们要等铲雪车开路．坐在车里，我们闲聊起来。驾驶员忽然问：“当年牺牲的那几名战士您认不认识？”老赵沉默了好一会儿，才开口说，认识。随后，给我们讲起了当年那场雪。</w:t>
      </w:r>
    </w:p>
    <w:p w14:paraId="4CB8B5E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⑨那天的雪比今天还大。连队接到乡里的电话，请求救援陷进雪里的老乡车辆。连长带上4名战士，拿着铁锹就驾车冲上了山。在山口找到被困车辆时，雪已经没过了小腿，只能一步一步走过去。</w:t>
      </w:r>
    </w:p>
    <w:p w14:paraId="511CD11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⑩战士们用铁锹把轮胎周围和汽车底盘下的雪一锹一锹铲出来．5000多米的山口上，人活动一会儿就气喘吁吁。老乡的车上拉着煤，车子本身动力弱，轮胎陷进雪里一直空转。连长带头推车，猛地大喝一声，所有人一齐发力，车辆终于爬出雪坑。连长带着4名战士轮流铲雪开路，2个多小时后，老乡的车终于脱困。</w:t>
      </w:r>
    </w:p>
    <w:p w14:paraId="60DB159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⑪为了安全，下山时连队的车在前带路，老乡的车跟在后面，沿着军车的车辙前进。行驶至一处连续下坡的急弯，山上积雪突然崩塌，军车驾驶员不由猛打方向，加上路面结着一层厚厚的冰，车子瞬时失控滑下了山崖。</w:t>
      </w:r>
    </w:p>
    <w:p w14:paraId="23C7C78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⑫老乡急忙联系乡里，附近的百姓都拿着工具赶来救援。大伙儿把受伤的战士抬下山的时候，一路上还有不少乡民往山上赶。可惜，4名年轻的战士还是牺牲了。</w:t>
      </w:r>
    </w:p>
    <w:p w14:paraId="7AFCC32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⑬最先从车里甩出去的是连长。老乡来救他的时候，他咬牙说自己没事，让老乡先去救其他战士。连长是最后一个被抬下山的，他受了重伤，但侥幸活下来了。老赵望着山崖，神情木然地说。</w:t>
      </w:r>
    </w:p>
    <w:p w14:paraId="5191869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⑭老赵所说的那条路，就是我们每次巡逻的必经之路。</w:t>
      </w:r>
    </w:p>
    <w:p w14:paraId="0FAA721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⑮铲雪车来了，我们的车跟在铲雪车后面，慢慢翻越山口。经过一个弯道，车辆突然失控，“啊，打滑了！”驾驶员一声大喊．车子朝着万丈悬崖滑去。我们紧紧抓住车辆扶手，冷汗湿透了全身．关键时刻，老赵扑过去双手死死把住方向盘，车子最终在悬崖边上停住了。驾驶员脸色苍白，不停地喘着粗气，握着方向盘的双手止不住地颤抖……</w:t>
      </w:r>
    </w:p>
    <w:p w14:paraId="317ED9E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⑯到山脚休整，惊魂落定后，我们想起老赵刚才讲的故事里的细节，问老赵，那个连长姓啥，后来咋样了？老赵淡淡地说，那连长姓赵，受伤后就退伍了。</w:t>
      </w:r>
    </w:p>
    <w:p w14:paraId="71C22425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⑰我们似乎明白了什么．</w:t>
      </w:r>
    </w:p>
    <w:p w14:paraId="1A366077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⑱回望来路，远方土黄色的大山沉默地矗立着，唯有天上的白云挂在山尖。</w:t>
      </w:r>
    </w:p>
    <w:p w14:paraId="7E90AA33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（选自2024年3月《解放军报》，有删改）</w:t>
      </w:r>
    </w:p>
    <w:p w14:paraId="48400E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请按照老赵两次救援遇险的先后顺序，简明扼要地梳理小说的故事情节。</w:t>
      </w:r>
    </w:p>
    <w:p w14:paraId="625324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文中反复写到挂在山尖的白云，有何用意？</w:t>
      </w:r>
    </w:p>
    <w:p w14:paraId="45A3904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老赵是个怎样的人？请结合文章内容简要分析。</w:t>
      </w:r>
    </w:p>
    <w:p w14:paraId="5173A6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关联文章和以下链接材料，简要陈述你的探究发现。</w:t>
      </w:r>
    </w:p>
    <w:p w14:paraId="562F1FA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材料一：</w:t>
      </w:r>
    </w:p>
    <w:p w14:paraId="2BE2B81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她问我们饿了没有。这正问中了我们的心事．她拿出仅有的一点米，放在房中间木头架成的一个灶上煮粥。她向我们道歉，说没有多的米，也没有大锅，要不就多煮些给部队吃。我们给她钱，她不要。好容易来了一个认识的同志，带来一袋米，虽然明知道前面粮食缺乏，我们还是把这整袋子米送给她。她非常欢喜地接受了。</w:t>
      </w:r>
    </w:p>
    <w:p w14:paraId="42ACED49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《老山界》</w:t>
      </w:r>
    </w:p>
    <w:p w14:paraId="47CCF8E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材料二：</w:t>
      </w:r>
    </w:p>
    <w:p w14:paraId="56B2703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他又指了指狭小潮湿的防空洞说：“再比如蹲防空洞吧，多憋闷得慌哩，眼看着外面好好的太阳不能晒，光光的马路不能走。可是我在这里蹲防空洞，祖国的人民就可以不蹲防空洞啊，他们就可以在马路上不慌不忙地走啊。他们想骑车子也行，想走路也行，边遛达边说话也行。只要能使人民得到幸福，就是我们最大的幸福。所以——”他又把雪放到嘴里，像总结似的说：“我在这里流点儿血不算什么、吃这点儿苦又算什么哩！”</w:t>
      </w:r>
    </w:p>
    <w:p w14:paraId="37785551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《谁是最可爱的人》</w:t>
      </w:r>
    </w:p>
    <w:p w14:paraId="64AAACA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材料三：</w:t>
      </w:r>
    </w:p>
    <w:p w14:paraId="7364F82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十多年前，有一队解放军路过这里，在树林里过夜、半夜淋了大雨。他们想，这里要有一间给过路人避风雨的小屋就好了，第二天早上就砍树割草盖起了房子．她姐姐恰好过这边山上来拾菌子，好奇地问解放军叔叔：“你们要在这里长住？”解放军说：“不，我们是为了方便过路人。是雷锋同志教我们这样做的。”她姐姐很受感动。从那以后，常常趁砍柴、拾菌子、找草药的机会来照料这小茅屋。</w:t>
      </w:r>
    </w:p>
    <w:p w14:paraId="18C58B97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《驿路梨花》</w:t>
      </w:r>
    </w:p>
    <w:p w14:paraId="2394CA7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四、写作（40分）</w:t>
      </w:r>
    </w:p>
    <w:p w14:paraId="1AF19AB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请从下面的题目中任选一题完成写作。（40分）</w:t>
      </w:r>
    </w:p>
    <w:p w14:paraId="72D859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26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题目：</w:t>
      </w:r>
    </w:p>
    <w:p w14:paraId="5A725E6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山坡在山脚和山顶之间。行至山坡，身边有好友偕行，远方有烟岚可眺，峰顶有未知待探索，来路有满满的收获．行至山坡，可以一鼓作气，勇攀高峰；也可以驻足小憩，调节身心……</w:t>
      </w:r>
    </w:p>
    <w:p w14:paraId="057FC4A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请以“走在山坡上”为题写一篇作文。</w:t>
      </w:r>
    </w:p>
    <w:p w14:paraId="125EC54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</w:t>
      </w:r>
    </w:p>
    <w:p w14:paraId="486C134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（1）不少于</w:t>
      </w:r>
      <w:r>
        <w:rPr>
          <w:rFonts w:ascii="Times New Roman" w:hAnsi="Times New Roman" w:eastAsia="Times New Roman" w:cs="Times New Roman"/>
          <w:color w:val="000000"/>
        </w:rPr>
        <w:t>600</w:t>
      </w:r>
      <w:r>
        <w:rPr>
          <w:rFonts w:ascii="宋体" w:hAnsi="宋体" w:eastAsia="宋体" w:cs="宋体"/>
          <w:color w:val="000000"/>
        </w:rPr>
        <w:t>字；</w:t>
      </w:r>
    </w:p>
    <w:p w14:paraId="229FAAC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（2）立意自定，文体自选（诗歌除外）：</w:t>
      </w:r>
    </w:p>
    <w:p w14:paraId="2DEFF35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（3）不得在文中泄露个人和学校信息；</w:t>
      </w:r>
    </w:p>
    <w:p w14:paraId="29637CE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（4）书写工整，字迹清楚。</w:t>
      </w:r>
    </w:p>
    <w:p w14:paraId="7420C5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 w:eastAsia="宋体" w:cs="宋体"/>
          <w:color w:val="000000"/>
        </w:rPr>
        <w:t>题目：______长伴我左右</w:t>
      </w:r>
    </w:p>
    <w:p w14:paraId="057A16D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要求：</w:t>
      </w:r>
    </w:p>
    <w:p w14:paraId="314C6B8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（1）须将题目补充完整；</w:t>
      </w:r>
    </w:p>
    <w:p w14:paraId="490A68B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（2）立意自定，文体自选（诗歌除外）：</w:t>
      </w:r>
    </w:p>
    <w:p w14:paraId="4FF822B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（3）不得在文中泄露个人和学校信息；</w:t>
      </w:r>
    </w:p>
    <w:p w14:paraId="7B9C2C8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（4）不少于600字，书写工整，字迹清楚。</w:t>
      </w:r>
    </w:p>
    <w:p w14:paraId="4F8C8B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74DA28A7">
      <w:pPr>
        <w:spacing w:line="360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392C79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3CE355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8C0B65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05EDC5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CC0AF8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205526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  <w:rsid w:val="59FC7713"/>
    <w:rsid w:val="618519F8"/>
    <w:rsid w:val="797C1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2" Type="http://schemas.openxmlformats.org/officeDocument/2006/relationships/fontTable" Target="fontTable.xml"/><Relationship Id="rId21" Type="http://schemas.openxmlformats.org/officeDocument/2006/relationships/customXml" Target="../customXml/item1.xml"/><Relationship Id="rId20" Type="http://schemas.openxmlformats.org/officeDocument/2006/relationships/image" Target="media/image11.wmf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wmf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9</Pages>
  <Words>6514</Words>
  <Characters>6799</Characters>
  <Lines>0</Lines>
  <Paragraphs>0</Paragraphs>
  <TotalTime>5</TotalTime>
  <ScaleCrop>false</ScaleCrop>
  <LinksUpToDate>false</LinksUpToDate>
  <CharactersWithSpaces>6947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2024-06-17T23:50:00Z</dcterms:created>
  <dc:creator>学科网试题生产平台</dc:creator>
  <dc:description>3520230779011072</dc:description>
  <cp:lastModifiedBy>上帝掷骰子吗</cp:lastModifiedBy>
  <dcterms:modified xsi:type="dcterms:W3CDTF">2026-02-09T00:20:40Z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400DE1D9F7A6403F97375CA2869829DC_12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