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2FCD9C">
      <w:pPr>
        <w:spacing w:before="0" w:after="0" w:line="325" w:lineRule="exact"/>
        <w:ind w:left="1132"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8544;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9568;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30592;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284.1pt;margin-top:462.05pt;height:16.25pt;width:12.5pt;mso-position-horizontal-relative:page;mso-position-vertical-relative:page;z-index:-251631616;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284.1pt;margin-top:492.8pt;height:16.25pt;width:12.5pt;mso-position-horizontal-relative:page;mso-position-vertical-relative:page;z-index:-251632640;mso-width-relative:page;mso-height-relative:page;" filled="f" o:preferrelative="t" stroked="f" coordsize="21600,21600">
            <v:path/>
            <v:fill on="f" focussize="0,0"/>
            <v:stroke on="f" joinstyle="miter"/>
            <v:imagedata r:id="rId15" o:title=""/>
            <o:lock v:ext="edit" aspectratio="t"/>
          </v:shape>
        </w:pict>
      </w:r>
      <w:r>
        <w:rPr>
          <w:rFonts w:ascii="宋体"/>
          <w:color w:val="000000"/>
          <w:spacing w:val="9"/>
          <w:sz w:val="32"/>
        </w:rPr>
        <w:t>2025</w:t>
      </w:r>
      <w:r>
        <w:rPr>
          <w:rFonts w:ascii="Times New Roman"/>
          <w:color w:val="000000"/>
          <w:spacing w:val="0"/>
          <w:sz w:val="32"/>
        </w:rPr>
        <w:t xml:space="preserve"> </w:t>
      </w:r>
      <w:r>
        <w:rPr>
          <w:rFonts w:ascii="宋体" w:hAnsi="宋体" w:cs="宋体"/>
          <w:color w:val="000000"/>
          <w:spacing w:val="0"/>
          <w:sz w:val="32"/>
        </w:rPr>
        <w:t>年广东省普通高中学业水平选择性考试思想政治</w:t>
      </w:r>
    </w:p>
    <w:p w14:paraId="01B326E8">
      <w:pPr>
        <w:spacing w:before="210" w:after="0" w:line="250" w:lineRule="exact"/>
        <w:ind w:left="1741" w:right="0" w:firstLine="0"/>
        <w:jc w:val="left"/>
        <w:rPr>
          <w:rFonts w:ascii="Times New Roman"/>
          <w:color w:val="000000"/>
          <w:spacing w:val="0"/>
          <w:sz w:val="24"/>
        </w:rPr>
      </w:pPr>
      <w:r>
        <w:rPr>
          <w:rFonts w:ascii="宋体" w:hAnsi="宋体" w:cs="宋体"/>
          <w:color w:val="000000"/>
          <w:spacing w:val="0"/>
          <w:sz w:val="24"/>
        </w:rPr>
        <w:t>本试卷共</w:t>
      </w:r>
      <w:r>
        <w:rPr>
          <w:rFonts w:ascii="Times New Roman"/>
          <w:color w:val="000000"/>
          <w:spacing w:val="0"/>
          <w:sz w:val="24"/>
        </w:rPr>
        <w:t xml:space="preserve"> </w:t>
      </w:r>
      <w:r>
        <w:rPr>
          <w:rFonts w:ascii="宋体"/>
          <w:color w:val="000000"/>
          <w:spacing w:val="0"/>
          <w:sz w:val="24"/>
        </w:rPr>
        <w:t>6</w:t>
      </w:r>
      <w:r>
        <w:rPr>
          <w:rFonts w:ascii="Times New Roman"/>
          <w:color w:val="000000"/>
          <w:spacing w:val="7"/>
          <w:sz w:val="24"/>
        </w:rPr>
        <w:t xml:space="preserve"> </w:t>
      </w:r>
      <w:r>
        <w:rPr>
          <w:rFonts w:ascii="宋体" w:hAnsi="宋体" w:cs="宋体"/>
          <w:color w:val="000000"/>
          <w:spacing w:val="5"/>
          <w:sz w:val="24"/>
        </w:rPr>
        <w:t>页，19</w:t>
      </w:r>
      <w:r>
        <w:rPr>
          <w:rFonts w:ascii="Times New Roman"/>
          <w:color w:val="000000"/>
          <w:spacing w:val="2"/>
          <w:sz w:val="24"/>
        </w:rPr>
        <w:t xml:space="preserve"> </w:t>
      </w:r>
      <w:r>
        <w:rPr>
          <w:rFonts w:ascii="宋体" w:hAnsi="宋体" w:cs="宋体"/>
          <w:color w:val="000000"/>
          <w:spacing w:val="2"/>
          <w:sz w:val="24"/>
        </w:rPr>
        <w:t>小题，满分</w:t>
      </w:r>
      <w:r>
        <w:rPr>
          <w:rFonts w:ascii="Times New Roman"/>
          <w:color w:val="000000"/>
          <w:spacing w:val="-2"/>
          <w:sz w:val="24"/>
        </w:rPr>
        <w:t xml:space="preserve"> </w:t>
      </w:r>
      <w:r>
        <w:rPr>
          <w:rFonts w:ascii="宋体"/>
          <w:color w:val="000000"/>
          <w:spacing w:val="7"/>
          <w:sz w:val="24"/>
        </w:rPr>
        <w:t>100</w:t>
      </w:r>
      <w:r>
        <w:rPr>
          <w:rFonts w:ascii="Times New Roman"/>
          <w:color w:val="000000"/>
          <w:spacing w:val="0"/>
          <w:sz w:val="24"/>
        </w:rPr>
        <w:t xml:space="preserve"> </w:t>
      </w:r>
      <w:r>
        <w:rPr>
          <w:rFonts w:ascii="宋体" w:hAnsi="宋体" w:cs="宋体"/>
          <w:color w:val="000000"/>
          <w:spacing w:val="2"/>
          <w:sz w:val="24"/>
        </w:rPr>
        <w:t>分。考试用时</w:t>
      </w:r>
      <w:r>
        <w:rPr>
          <w:rFonts w:ascii="Times New Roman"/>
          <w:color w:val="000000"/>
          <w:spacing w:val="-1"/>
          <w:sz w:val="24"/>
        </w:rPr>
        <w:t xml:space="preserve"> </w:t>
      </w:r>
      <w:r>
        <w:rPr>
          <w:rFonts w:ascii="宋体"/>
          <w:color w:val="000000"/>
          <w:spacing w:val="7"/>
          <w:sz w:val="24"/>
        </w:rPr>
        <w:t>75</w:t>
      </w:r>
      <w:r>
        <w:rPr>
          <w:rFonts w:ascii="Times New Roman"/>
          <w:color w:val="000000"/>
          <w:spacing w:val="0"/>
          <w:sz w:val="24"/>
        </w:rPr>
        <w:t xml:space="preserve"> </w:t>
      </w:r>
      <w:r>
        <w:rPr>
          <w:rFonts w:ascii="宋体" w:hAnsi="宋体" w:cs="宋体"/>
          <w:color w:val="000000"/>
          <w:spacing w:val="0"/>
          <w:sz w:val="24"/>
        </w:rPr>
        <w:t>分钟。</w:t>
      </w:r>
    </w:p>
    <w:p w14:paraId="6837E791">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7009A6CA">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1．答题前，考生务必用黑色字迹的钢笔或签字笔将自己的姓名、考生号、考场号和座位号填</w:t>
      </w:r>
    </w:p>
    <w:p w14:paraId="12536CB7">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写在答题卡上。用</w:t>
      </w:r>
      <w:r>
        <w:rPr>
          <w:rFonts w:ascii="Times New Roman"/>
          <w:color w:val="000000"/>
          <w:spacing w:val="-1"/>
          <w:sz w:val="24"/>
        </w:rPr>
        <w:t xml:space="preserve"> </w:t>
      </w:r>
      <w:r>
        <w:rPr>
          <w:rFonts w:ascii="宋体"/>
          <w:color w:val="000000"/>
          <w:spacing w:val="7"/>
          <w:sz w:val="24"/>
        </w:rPr>
        <w:t>2B</w:t>
      </w:r>
      <w:r>
        <w:rPr>
          <w:rFonts w:ascii="Times New Roman"/>
          <w:color w:val="000000"/>
          <w:spacing w:val="0"/>
          <w:sz w:val="24"/>
        </w:rPr>
        <w:t xml:space="preserve"> </w:t>
      </w:r>
      <w:r>
        <w:rPr>
          <w:rFonts w:ascii="宋体" w:hAnsi="宋体" w:cs="宋体"/>
          <w:color w:val="000000"/>
          <w:spacing w:val="1"/>
          <w:sz w:val="24"/>
        </w:rPr>
        <w:t>铅笔将试卷类型（A）填涂在答题卡相应位置上，将条形码横贴在答题</w:t>
      </w:r>
    </w:p>
    <w:p w14:paraId="6050FD31">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卡右上角“条形码粘贴处”。</w:t>
      </w:r>
    </w:p>
    <w:p w14:paraId="02041A2D">
      <w:pPr>
        <w:spacing w:before="121" w:after="0" w:line="250" w:lineRule="exact"/>
        <w:ind w:left="0" w:right="0" w:firstLine="0"/>
        <w:jc w:val="left"/>
        <w:rPr>
          <w:rFonts w:ascii="Times New Roman"/>
          <w:color w:val="000000"/>
          <w:spacing w:val="0"/>
          <w:sz w:val="24"/>
        </w:rPr>
      </w:pPr>
      <w:r>
        <w:rPr>
          <w:rFonts w:ascii="宋体" w:hAnsi="宋体" w:cs="宋体"/>
          <w:color w:val="000000"/>
          <w:spacing w:val="2"/>
          <w:sz w:val="24"/>
        </w:rPr>
        <w:t>2．作答选择题时，选出每小题答案后，用</w:t>
      </w:r>
      <w:r>
        <w:rPr>
          <w:rFonts w:ascii="Times New Roman"/>
          <w:color w:val="000000"/>
          <w:spacing w:val="-1"/>
          <w:sz w:val="24"/>
        </w:rPr>
        <w:t xml:space="preserve"> </w:t>
      </w:r>
      <w:r>
        <w:rPr>
          <w:rFonts w:ascii="宋体"/>
          <w:color w:val="000000"/>
          <w:spacing w:val="7"/>
          <w:sz w:val="24"/>
        </w:rPr>
        <w:t>2B</w:t>
      </w:r>
      <w:r>
        <w:rPr>
          <w:rFonts w:ascii="Times New Roman"/>
          <w:color w:val="000000"/>
          <w:spacing w:val="0"/>
          <w:sz w:val="24"/>
        </w:rPr>
        <w:t xml:space="preserve"> </w:t>
      </w:r>
      <w:r>
        <w:rPr>
          <w:rFonts w:ascii="宋体" w:hAnsi="宋体" w:cs="宋体"/>
          <w:color w:val="000000"/>
          <w:spacing w:val="0"/>
          <w:sz w:val="24"/>
        </w:rPr>
        <w:t>铅笔把答题卡上对应题目选项的答案信息点涂</w:t>
      </w:r>
    </w:p>
    <w:p w14:paraId="478E6804">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黑；如需改动，用橡皮擦干净后，再选涂其他答案，答案不能答在试卷上。</w:t>
      </w:r>
    </w:p>
    <w:p w14:paraId="47266B4E">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3．非选择题必须用黑色字迹的钢笔或签字笔作答，答案必须写在答题卡各题目指定区域内相</w:t>
      </w:r>
    </w:p>
    <w:p w14:paraId="4523AFE2">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应位置上：如需改动，先划掉原来的答案，然后</w:t>
      </w:r>
      <w:r>
        <w:rPr>
          <w:rFonts w:ascii="Times New Roman"/>
          <w:color w:val="000000"/>
          <w:spacing w:val="60"/>
          <w:sz w:val="24"/>
        </w:rPr>
        <w:t xml:space="preserve"> </w:t>
      </w:r>
      <w:r>
        <w:rPr>
          <w:rFonts w:ascii="宋体" w:hAnsi="宋体" w:cs="宋体"/>
          <w:color w:val="000000"/>
          <w:spacing w:val="1"/>
          <w:sz w:val="24"/>
        </w:rPr>
        <w:t>再写上新的答案：不准使用铅笔和涂改液。</w:t>
      </w:r>
    </w:p>
    <w:p w14:paraId="3869D703">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不按以上要求作答的答案无效。</w:t>
      </w:r>
    </w:p>
    <w:p w14:paraId="65526890">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4．考生必须保持答题卡的整洁。考试结束后，将试卷和答题卡一并交回。</w:t>
      </w:r>
    </w:p>
    <w:p w14:paraId="3F1D51C8">
      <w:pPr>
        <w:spacing w:before="121" w:after="0" w:line="250" w:lineRule="exact"/>
        <w:ind w:left="0" w:right="0" w:firstLine="0"/>
        <w:jc w:val="left"/>
        <w:rPr>
          <w:rFonts w:ascii="Times New Roman"/>
          <w:color w:val="000000"/>
          <w:spacing w:val="0"/>
          <w:sz w:val="24"/>
        </w:rPr>
      </w:pPr>
      <w:r>
        <w:rPr>
          <w:rFonts w:ascii="宋体" w:hAnsi="宋体" w:cs="宋体"/>
          <w:color w:val="000000"/>
          <w:spacing w:val="2"/>
          <w:sz w:val="24"/>
        </w:rPr>
        <w:t>一、选择题：本大题共</w:t>
      </w:r>
      <w:r>
        <w:rPr>
          <w:rFonts w:ascii="Times New Roman"/>
          <w:color w:val="000000"/>
          <w:spacing w:val="-1"/>
          <w:sz w:val="24"/>
        </w:rPr>
        <w:t xml:space="preserve"> </w:t>
      </w:r>
      <w:r>
        <w:rPr>
          <w:rFonts w:ascii="宋体"/>
          <w:color w:val="000000"/>
          <w:spacing w:val="7"/>
          <w:sz w:val="24"/>
        </w:rPr>
        <w:t>16</w:t>
      </w:r>
      <w:r>
        <w:rPr>
          <w:rFonts w:ascii="Times New Roman"/>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宋体"/>
          <w:color w:val="000000"/>
          <w:spacing w:val="0"/>
          <w:sz w:val="24"/>
        </w:rPr>
        <w:t>3</w:t>
      </w:r>
      <w:r>
        <w:rPr>
          <w:rFonts w:ascii="Times New Roman"/>
          <w:color w:val="000000"/>
          <w:spacing w:val="7"/>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宋体"/>
          <w:color w:val="000000"/>
          <w:spacing w:val="7"/>
          <w:sz w:val="24"/>
        </w:rPr>
        <w:t>48</w:t>
      </w:r>
      <w:r>
        <w:rPr>
          <w:rFonts w:ascii="Times New Roman"/>
          <w:color w:val="000000"/>
          <w:spacing w:val="0"/>
          <w:sz w:val="24"/>
        </w:rPr>
        <w:t xml:space="preserve"> </w:t>
      </w:r>
      <w:r>
        <w:rPr>
          <w:rFonts w:ascii="宋体" w:hAnsi="宋体" w:cs="宋体"/>
          <w:color w:val="000000"/>
          <w:spacing w:val="1"/>
          <w:sz w:val="24"/>
        </w:rPr>
        <w:t>分。在每小题列出的四个选项中，只有</w:t>
      </w:r>
    </w:p>
    <w:p w14:paraId="1DD3160A">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一项符合题目要求。</w:t>
      </w:r>
    </w:p>
    <w:p w14:paraId="71A01874">
      <w:pPr>
        <w:spacing w:before="17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4"/>
          <w:sz w:val="21"/>
        </w:rPr>
        <w:t>习近平总书记指出：“中国共产党所做的一切，就是为中国人民谋幸福、为中华民族谋复兴……”“实现</w:t>
      </w:r>
    </w:p>
    <w:p w14:paraId="5DB8D3C4">
      <w:pPr>
        <w:spacing w:before="232" w:after="0" w:line="220" w:lineRule="exact"/>
        <w:ind w:left="0" w:right="0" w:firstLine="0"/>
        <w:jc w:val="left"/>
        <w:rPr>
          <w:rFonts w:ascii="Times New Roman"/>
          <w:color w:val="000000"/>
          <w:spacing w:val="0"/>
          <w:sz w:val="21"/>
        </w:rPr>
      </w:pPr>
      <w:r>
        <w:rPr>
          <w:rFonts w:ascii="宋体" w:hAnsi="宋体" w:cs="宋体"/>
          <w:color w:val="000000"/>
          <w:spacing w:val="-2"/>
          <w:sz w:val="21"/>
        </w:rPr>
        <w:t>中华民族伟大复兴，就是中华民族近代以来最伟大的梦想。”“没有高度的文化自信，没有文化的繁荣兴盛，</w:t>
      </w:r>
    </w:p>
    <w:p w14:paraId="08EB08E0">
      <w:pPr>
        <w:spacing w:before="248" w:after="0" w:line="220" w:lineRule="exact"/>
        <w:ind w:left="0" w:right="0" w:firstLine="0"/>
        <w:jc w:val="left"/>
        <w:rPr>
          <w:rFonts w:ascii="Times New Roman"/>
          <w:color w:val="000000"/>
          <w:spacing w:val="0"/>
          <w:sz w:val="21"/>
        </w:rPr>
      </w:pPr>
      <w:r>
        <w:rPr>
          <w:rFonts w:ascii="宋体" w:hAnsi="宋体" w:cs="宋体"/>
          <w:color w:val="000000"/>
          <w:spacing w:val="-4"/>
          <w:sz w:val="21"/>
        </w:rPr>
        <w:t>就没有中华民族伟大复兴。”“中国梦是中国人民追求幸福的梦，也同各国人民的美好梦想息息相通。”对</w:t>
      </w:r>
    </w:p>
    <w:p w14:paraId="035C339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以上重要论述理解正确的是（</w:t>
      </w:r>
      <w:r>
        <w:rPr>
          <w:rFonts w:ascii="Times New Roman"/>
          <w:color w:val="000000"/>
          <w:spacing w:val="263"/>
          <w:sz w:val="21"/>
        </w:rPr>
        <w:t xml:space="preserve"> </w:t>
      </w:r>
      <w:r>
        <w:rPr>
          <w:rFonts w:ascii="宋体" w:hAnsi="宋体" w:cs="宋体"/>
          <w:color w:val="000000"/>
          <w:spacing w:val="0"/>
          <w:sz w:val="21"/>
        </w:rPr>
        <w:t>）</w:t>
      </w:r>
    </w:p>
    <w:p w14:paraId="4436EED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①实现中华民族伟大复兴是党自成立以来就肩负的历史使命</w:t>
      </w:r>
    </w:p>
    <w:p w14:paraId="49C84B01">
      <w:pPr>
        <w:spacing w:before="362" w:after="0" w:line="220" w:lineRule="exact"/>
        <w:ind w:left="0" w:right="0" w:firstLine="0"/>
        <w:jc w:val="left"/>
        <w:rPr>
          <w:rFonts w:ascii="Times New Roman"/>
          <w:color w:val="000000"/>
          <w:spacing w:val="0"/>
          <w:sz w:val="21"/>
        </w:rPr>
      </w:pPr>
      <w:r>
        <w:rPr>
          <w:rFonts w:ascii="宋体" w:hAnsi="宋体" w:cs="宋体"/>
          <w:color w:val="000000"/>
          <w:spacing w:val="0"/>
          <w:sz w:val="21"/>
        </w:rPr>
        <w:t>②近代中国曲折发展历程激发了中华民族伟大复兴</w:t>
      </w:r>
      <w:r>
        <w:rPr>
          <w:rFonts w:ascii="Times New Roman"/>
          <w:color w:val="000000"/>
          <w:spacing w:val="158"/>
          <w:sz w:val="21"/>
        </w:rPr>
        <w:t xml:space="preserve"> </w:t>
      </w:r>
      <w:r>
        <w:rPr>
          <w:rFonts w:ascii="宋体" w:hAnsi="宋体" w:cs="宋体"/>
          <w:color w:val="000000"/>
          <w:spacing w:val="0"/>
          <w:sz w:val="21"/>
        </w:rPr>
        <w:t>中国梦</w:t>
      </w:r>
    </w:p>
    <w:p w14:paraId="3E100C10">
      <w:pPr>
        <w:spacing w:before="404" w:after="0" w:line="220" w:lineRule="exact"/>
        <w:ind w:left="0" w:right="0" w:firstLine="0"/>
        <w:jc w:val="left"/>
        <w:rPr>
          <w:rFonts w:ascii="Times New Roman"/>
          <w:color w:val="000000"/>
          <w:spacing w:val="0"/>
          <w:sz w:val="21"/>
        </w:rPr>
      </w:pPr>
      <w:r>
        <w:rPr>
          <w:rFonts w:ascii="宋体" w:hAnsi="宋体" w:cs="宋体"/>
          <w:color w:val="000000"/>
          <w:spacing w:val="0"/>
          <w:sz w:val="21"/>
        </w:rPr>
        <w:t>③文化自信和文化繁荣共同构成中华民族伟大复兴</w:t>
      </w:r>
      <w:r>
        <w:rPr>
          <w:rFonts w:ascii="Times New Roman"/>
          <w:color w:val="000000"/>
          <w:spacing w:val="158"/>
          <w:sz w:val="21"/>
        </w:rPr>
        <w:t xml:space="preserve"> </w:t>
      </w:r>
      <w:r>
        <w:rPr>
          <w:rFonts w:ascii="宋体" w:hAnsi="宋体" w:cs="宋体"/>
          <w:color w:val="000000"/>
          <w:spacing w:val="0"/>
          <w:sz w:val="21"/>
        </w:rPr>
        <w:t>中国梦</w:t>
      </w:r>
    </w:p>
    <w:p w14:paraId="749E276C">
      <w:pPr>
        <w:spacing w:before="290" w:after="0" w:line="220" w:lineRule="exact"/>
        <w:ind w:left="0" w:right="0" w:firstLine="0"/>
        <w:jc w:val="left"/>
        <w:rPr>
          <w:rFonts w:ascii="Times New Roman"/>
          <w:color w:val="000000"/>
          <w:spacing w:val="0"/>
          <w:sz w:val="21"/>
        </w:rPr>
      </w:pPr>
      <w:r>
        <w:rPr>
          <w:rFonts w:ascii="宋体" w:hAnsi="宋体" w:cs="宋体"/>
          <w:color w:val="000000"/>
          <w:spacing w:val="0"/>
          <w:sz w:val="21"/>
        </w:rPr>
        <w:t>④中华民族伟大复兴的中国梦就是世界各国人民的共同梦想</w:t>
      </w:r>
    </w:p>
    <w:p w14:paraId="669C402D">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744E2F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党的二十届三中全会提出，城乡融合发展是中国式现代化的必然要求。走城乡融合发展之路，要从全局</w:t>
      </w:r>
    </w:p>
    <w:p w14:paraId="0C8DB5A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和战略的高度把握和处理城乡关系，统筹新型工业化、新型城镇化和乡村全面振兴。2024</w:t>
      </w:r>
      <w:r>
        <w:rPr>
          <w:rFonts w:ascii="Times New Roman"/>
          <w:color w:val="000000"/>
          <w:spacing w:val="0"/>
          <w:sz w:val="21"/>
        </w:rPr>
        <w:t xml:space="preserve"> </w:t>
      </w:r>
      <w:r>
        <w:rPr>
          <w:rFonts w:ascii="宋体" w:hAnsi="宋体" w:cs="宋体"/>
          <w:color w:val="000000"/>
          <w:spacing w:val="0"/>
          <w:sz w:val="21"/>
        </w:rPr>
        <w:t>年，全国农村居</w:t>
      </w:r>
    </w:p>
    <w:p w14:paraId="14D577E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民人均可支配收入同比实际增长</w:t>
      </w:r>
      <w:r>
        <w:rPr>
          <w:rFonts w:ascii="Times New Roman"/>
          <w:color w:val="000000"/>
          <w:spacing w:val="0"/>
          <w:sz w:val="21"/>
        </w:rPr>
        <w:t xml:space="preserve"> </w:t>
      </w:r>
      <w:r>
        <w:rPr>
          <w:rFonts w:ascii="宋体" w:hAnsi="宋体" w:cs="宋体"/>
          <w:color w:val="000000"/>
          <w:spacing w:val="0"/>
          <w:sz w:val="21"/>
        </w:rPr>
        <w:t>6．3%,比城镇快</w:t>
      </w:r>
      <w:r>
        <w:rPr>
          <w:rFonts w:ascii="Times New Roman"/>
          <w:color w:val="000000"/>
          <w:spacing w:val="0"/>
          <w:sz w:val="21"/>
        </w:rPr>
        <w:t xml:space="preserve"> </w:t>
      </w:r>
      <w:r>
        <w:rPr>
          <w:rFonts w:ascii="宋体" w:hAnsi="宋体" w:cs="宋体"/>
          <w:color w:val="000000"/>
          <w:spacing w:val="0"/>
          <w:sz w:val="21"/>
        </w:rPr>
        <w:t>1．9</w:t>
      </w:r>
      <w:r>
        <w:rPr>
          <w:rFonts w:ascii="Times New Roman"/>
          <w:color w:val="000000"/>
          <w:spacing w:val="0"/>
          <w:sz w:val="21"/>
        </w:rPr>
        <w:t xml:space="preserve"> </w:t>
      </w:r>
      <w:r>
        <w:rPr>
          <w:rFonts w:ascii="宋体" w:hAnsi="宋体" w:cs="宋体"/>
          <w:color w:val="000000"/>
          <w:spacing w:val="0"/>
          <w:sz w:val="21"/>
        </w:rPr>
        <w:t>个百分点。以上材料表明（</w:t>
      </w:r>
      <w:r>
        <w:rPr>
          <w:rFonts w:ascii="Times New Roman"/>
          <w:color w:val="000000"/>
          <w:spacing w:val="263"/>
          <w:sz w:val="21"/>
        </w:rPr>
        <w:t xml:space="preserve"> </w:t>
      </w:r>
      <w:r>
        <w:rPr>
          <w:rFonts w:ascii="宋体" w:hAnsi="宋体" w:cs="宋体"/>
          <w:color w:val="000000"/>
          <w:spacing w:val="0"/>
          <w:sz w:val="21"/>
        </w:rPr>
        <w:t>）</w:t>
      </w:r>
    </w:p>
    <w:p w14:paraId="1F3491D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①推进城乡融合发展有利于解放和发展生产力</w:t>
      </w:r>
    </w:p>
    <w:p w14:paraId="0D489B4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②调整城乡关系是决定当代中国命运的关键一招</w:t>
      </w:r>
    </w:p>
    <w:p w14:paraId="7FAAB5B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③我国走出了一条具有中国特色的城乡发展之路</w:t>
      </w:r>
    </w:p>
    <w:p w14:paraId="74D87BB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④城乡关系问题在中国特色社会主义建设中得到全面解决</w:t>
      </w:r>
    </w:p>
    <w:p w14:paraId="45FE82F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6F498E2">
      <w:pPr>
        <w:spacing w:before="43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5E21709A">
      <w:pPr>
        <w:spacing w:before="0" w:after="0" w:line="0" w:lineRule="atLeast"/>
        <w:ind w:left="0" w:right="0" w:firstLine="0"/>
        <w:jc w:val="left"/>
        <w:rPr>
          <w:rFonts w:ascii="Arial"/>
          <w:color w:val="FF0000"/>
          <w:spacing w:val="0"/>
          <w:sz w:val="2"/>
        </w:rPr>
      </w:pPr>
    </w:p>
    <w:p w14:paraId="45A555B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A70E234">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0E1764C2">
      <w:pPr>
        <w:spacing w:before="0" w:after="0" w:line="0" w:lineRule="atLeast"/>
        <w:ind w:left="0" w:right="0" w:firstLine="0"/>
        <w:jc w:val="left"/>
        <w:rPr>
          <w:rFonts w:ascii="Arial"/>
          <w:color w:val="FF0000"/>
          <w:spacing w:val="0"/>
          <w:sz w:val="2"/>
        </w:rPr>
      </w:pPr>
    </w:p>
    <w:p w14:paraId="5546D383">
      <w:pPr>
        <w:spacing w:before="0" w:after="0" w:line="243" w:lineRule="exact"/>
        <w:ind w:left="0" w:right="0" w:firstLine="0"/>
        <w:jc w:val="left"/>
        <w:rPr>
          <w:rFonts w:ascii="Times New Roman"/>
          <w:color w:val="000000"/>
          <w:spacing w:val="0"/>
          <w:sz w:val="21"/>
        </w:rPr>
      </w:pPr>
      <w:bookmarkStart w:id="1" w:name="br2"/>
      <w:bookmarkEnd w:id="1"/>
      <w:r>
        <w:pict>
          <v:shape id="_x0000_s1034" o:spid="_x0000_s1034" o:spt="75" type="#_x0000_t75" style="position:absolute;left:0pt;margin-left:404.15pt;margin-top:72.55pt;height:2.75pt;width:2.75pt;mso-position-horizontal-relative:page;mso-position-vertical-relative:page;z-index:-251633664;mso-width-relative:page;mso-height-relative:page;" filled="f" o:preferrelative="t" stroked="f" coordsize="21600,21600">
            <v:path/>
            <v:fill on="f" focussize="0,0"/>
            <v:stroke on="f" joinstyle="miter"/>
            <v:imagedata r:id="rId11" o:title=""/>
            <o:lock v:ext="edit" aspectratio="t"/>
          </v:shape>
        </w:pict>
      </w:r>
      <w:r>
        <w:pict>
          <v:shape id="_x0000_s1035" o:spid="_x0000_s1035" o:spt="75" type="#_x0000_t75" style="position:absolute;left:0pt;margin-left:212.1pt;margin-top:473.3pt;height:5.75pt;width:5pt;mso-position-horizontal-relative:page;mso-position-vertical-relative:page;z-index:-251634688;mso-width-relative:page;mso-height-relative:page;" filled="f" o:preferrelative="t" stroked="f" coordsize="21600,21600">
            <v:path/>
            <v:fill on="f" focussize="0,0"/>
            <v:stroke on="f" joinstyle="miter"/>
            <v:imagedata r:id="rId12" o:title=""/>
            <o:lock v:ext="edit" aspectratio="t"/>
          </v:shape>
        </w:pict>
      </w:r>
      <w:r>
        <w:pict>
          <v:shape id="_x0000_s1036" o:spid="_x0000_s1036" o:spt="75" type="#_x0000_t75" style="position:absolute;left:0pt;margin-left:116.8pt;margin-top:769.7pt;height:2.75pt;width:2.75pt;mso-position-horizontal-relative:page;mso-position-vertical-relative:page;z-index:-251635712;mso-width-relative:page;mso-height-relative:page;" filled="f" o:preferrelative="t" stroked="f" coordsize="21600,21600">
            <v:path/>
            <v:fill on="f" focussize="0,0"/>
            <v:stroke on="f" joinstyle="miter"/>
            <v:imagedata r:id="rId16" o:title=""/>
            <o:lock v:ext="edit" aspectratio="t"/>
          </v:shape>
        </w:pict>
      </w: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随着我国国际地位和影响力的逐渐提升，中国智慧、中国方案、中国道路等领域成为国外学界研究的热</w:t>
      </w:r>
    </w:p>
    <w:p w14:paraId="52DE5BF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点，主题包括“人类命运共同体”“自我革命”“人类文明新形态”等一系列中国“标识性概念”。这些</w:t>
      </w:r>
    </w:p>
    <w:p w14:paraId="2AC1481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研究（</w:t>
      </w:r>
      <w:r>
        <w:rPr>
          <w:rFonts w:ascii="Times New Roman"/>
          <w:color w:val="000000"/>
          <w:spacing w:val="263"/>
          <w:sz w:val="21"/>
        </w:rPr>
        <w:t xml:space="preserve"> </w:t>
      </w:r>
      <w:r>
        <w:rPr>
          <w:rFonts w:ascii="宋体" w:hAnsi="宋体" w:cs="宋体"/>
          <w:color w:val="000000"/>
          <w:spacing w:val="0"/>
          <w:sz w:val="21"/>
        </w:rPr>
        <w:t>）</w:t>
      </w:r>
    </w:p>
    <w:p w14:paraId="2F1E927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①有利于推动中国“标识性概念”产生世界性影响</w:t>
      </w:r>
    </w:p>
    <w:p w14:paraId="52FC86B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②有力地促进了中国在区域和全球的声望不断提升</w:t>
      </w:r>
    </w:p>
    <w:p w14:paraId="5AB9212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③标志着中国开创的人类文明新形态取得国际共识</w:t>
      </w:r>
    </w:p>
    <w:p w14:paraId="7167EE3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④成为推动新时代中国共产党理论创新的主要力量</w:t>
      </w:r>
    </w:p>
    <w:p w14:paraId="379CF88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459008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4"/>
          <w:sz w:val="21"/>
        </w:rPr>
        <w:t>针对产品同质化、市场供需失衡、产品价格走低、行业平均利润率持续下滑等现象，某行业协会发起“自</w:t>
      </w:r>
    </w:p>
    <w:p w14:paraId="7C9280F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律公约”,要求行业企业改善管理、挖掘内部潜力；行业龙头企业率先宣布减产控产，同时与上下游企业开</w:t>
      </w:r>
    </w:p>
    <w:p w14:paraId="7F3F4AD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展技术创新合作。在不考虑其他因素的条件下，该举措发挥作用的传导路径为（</w:t>
      </w:r>
      <w:r>
        <w:rPr>
          <w:rFonts w:ascii="Times New Roman"/>
          <w:color w:val="000000"/>
          <w:spacing w:val="263"/>
          <w:sz w:val="21"/>
        </w:rPr>
        <w:t xml:space="preserve"> </w:t>
      </w:r>
      <w:r>
        <w:rPr>
          <w:rFonts w:ascii="宋体" w:hAnsi="宋体" w:cs="宋体"/>
          <w:color w:val="000000"/>
          <w:spacing w:val="0"/>
          <w:sz w:val="21"/>
        </w:rPr>
        <w:t>）</w:t>
      </w:r>
    </w:p>
    <w:p w14:paraId="2AFF61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①自觉减少市场供给，优化企业经营环境</w:t>
      </w:r>
    </w:p>
    <w:p w14:paraId="5B368EB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②生产更多优质产品，实现市场差异化竞争</w:t>
      </w:r>
    </w:p>
    <w:p w14:paraId="2DA67CE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③引导市场价格回升，提高行业平均利润率</w:t>
      </w:r>
    </w:p>
    <w:p w14:paraId="6612283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④加大企业研发投入，推动行业高质量发展</w:t>
      </w:r>
    </w:p>
    <w:p w14:paraId="0568121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④→①→③→②</w:t>
      </w:r>
      <w:r>
        <w:rPr>
          <w:rFonts w:ascii="Times New Roman"/>
          <w:color w:val="000000"/>
          <w:spacing w:val="3095"/>
          <w:sz w:val="21"/>
        </w:rPr>
        <w:t xml:space="preserve"> </w:t>
      </w:r>
      <w:r>
        <w:rPr>
          <w:rFonts w:ascii="Times New Roman"/>
          <w:color w:val="000000"/>
          <w:spacing w:val="0"/>
          <w:sz w:val="21"/>
        </w:rPr>
        <w:t xml:space="preserve">B. </w:t>
      </w:r>
      <w:r>
        <w:rPr>
          <w:rFonts w:ascii="宋体" w:hAnsi="宋体" w:cs="宋体"/>
          <w:color w:val="000000"/>
          <w:spacing w:val="0"/>
          <w:sz w:val="21"/>
        </w:rPr>
        <w:t>①→③→④→②</w:t>
      </w:r>
    </w:p>
    <w:p w14:paraId="638723B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w:t>
      </w:r>
      <w:r>
        <w:rPr>
          <w:rFonts w:ascii="宋体" w:hAnsi="宋体" w:cs="宋体"/>
          <w:color w:val="000000"/>
          <w:spacing w:val="0"/>
          <w:sz w:val="21"/>
        </w:rPr>
        <w:t>①→③→②→④</w:t>
      </w:r>
      <w:r>
        <w:rPr>
          <w:rFonts w:ascii="Times New Roman"/>
          <w:color w:val="000000"/>
          <w:spacing w:val="3107"/>
          <w:sz w:val="21"/>
        </w:rPr>
        <w:t xml:space="preserve"> </w:t>
      </w:r>
      <w:r>
        <w:rPr>
          <w:rFonts w:ascii="Times New Roman"/>
          <w:color w:val="000000"/>
          <w:spacing w:val="0"/>
          <w:sz w:val="21"/>
        </w:rPr>
        <w:t xml:space="preserve">D. </w:t>
      </w:r>
      <w:r>
        <w:rPr>
          <w:rFonts w:ascii="宋体" w:hAnsi="宋体" w:cs="宋体"/>
          <w:color w:val="000000"/>
          <w:spacing w:val="0"/>
          <w:sz w:val="21"/>
        </w:rPr>
        <w:t>②→③→①→④</w:t>
      </w:r>
    </w:p>
    <w:p w14:paraId="21F6FD1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某市建立联农带农机制：合作社在乡村建立蔬菜产业园，产品直供市内各单位食堂；村集体将农户闲置</w:t>
      </w:r>
    </w:p>
    <w:p w14:paraId="1D82240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资源整合并办证确权合入股合作社；农户以土地经营权入股村集体项目；专业公司以现金入股合作社，负</w:t>
      </w:r>
    </w:p>
    <w:p w14:paraId="625F40E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责提供技术、销售等服务。2024</w:t>
      </w:r>
      <w:r>
        <w:rPr>
          <w:rFonts w:ascii="Times New Roman"/>
          <w:color w:val="000000"/>
          <w:spacing w:val="0"/>
          <w:sz w:val="21"/>
        </w:rPr>
        <w:t xml:space="preserve"> </w:t>
      </w:r>
      <w:r>
        <w:rPr>
          <w:rFonts w:ascii="宋体" w:hAnsi="宋体" w:cs="宋体"/>
          <w:color w:val="000000"/>
          <w:spacing w:val="0"/>
          <w:sz w:val="21"/>
        </w:rPr>
        <w:t>年全市村集体产业新增分红</w:t>
      </w:r>
      <w:r>
        <w:rPr>
          <w:rFonts w:ascii="Times New Roman"/>
          <w:color w:val="000000"/>
          <w:spacing w:val="0"/>
          <w:sz w:val="21"/>
        </w:rPr>
        <w:t xml:space="preserve"> </w:t>
      </w:r>
      <w:r>
        <w:rPr>
          <w:rFonts w:ascii="宋体"/>
          <w:color w:val="000000"/>
          <w:spacing w:val="0"/>
          <w:sz w:val="21"/>
        </w:rPr>
        <w:t>300</w:t>
      </w:r>
      <w:r>
        <w:rPr>
          <w:rFonts w:ascii="Times New Roman"/>
          <w:color w:val="000000"/>
          <w:spacing w:val="0"/>
          <w:sz w:val="21"/>
        </w:rPr>
        <w:t xml:space="preserve"> </w:t>
      </w:r>
      <w:r>
        <w:rPr>
          <w:rFonts w:ascii="宋体" w:hAnsi="宋体" w:cs="宋体"/>
          <w:color w:val="000000"/>
          <w:spacing w:val="0"/>
          <w:sz w:val="21"/>
        </w:rPr>
        <w:t>多万元。该机制（</w:t>
      </w:r>
      <w:r>
        <w:rPr>
          <w:rFonts w:ascii="Times New Roman"/>
          <w:color w:val="000000"/>
          <w:spacing w:val="263"/>
          <w:sz w:val="21"/>
        </w:rPr>
        <w:t xml:space="preserve"> </w:t>
      </w:r>
      <w:r>
        <w:rPr>
          <w:rFonts w:ascii="宋体" w:hAnsi="宋体" w:cs="宋体"/>
          <w:color w:val="000000"/>
          <w:spacing w:val="0"/>
          <w:sz w:val="21"/>
        </w:rPr>
        <w:t>）</w:t>
      </w:r>
    </w:p>
    <w:p w14:paraId="0793DF7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①建立了产供销一体化经营体系</w:t>
      </w:r>
    </w:p>
    <w:p w14:paraId="159EF86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②推动了科技与农业发展深度融合</w:t>
      </w:r>
    </w:p>
    <w:p w14:paraId="4F1832D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③通过土地经营权入股增加了农户经营性收入</w:t>
      </w:r>
    </w:p>
    <w:p w14:paraId="44D837F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④通过确权将土地由集体所有变更为公司所有</w:t>
      </w:r>
    </w:p>
    <w:p w14:paraId="5C6B289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BBE212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经党中央批准，二十届中央第五轮巡视对河北等</w:t>
      </w:r>
      <w:r>
        <w:rPr>
          <w:rFonts w:ascii="Times New Roman"/>
          <w:color w:val="000000"/>
          <w:spacing w:val="0"/>
          <w:sz w:val="21"/>
        </w:rPr>
        <w:t xml:space="preserve"> </w:t>
      </w:r>
      <w:r>
        <w:rPr>
          <w:rFonts w:ascii="宋体"/>
          <w:color w:val="000000"/>
          <w:spacing w:val="0"/>
          <w:sz w:val="21"/>
        </w:rPr>
        <w:t>15</w:t>
      </w:r>
      <w:r>
        <w:rPr>
          <w:rFonts w:ascii="Times New Roman"/>
          <w:color w:val="000000"/>
          <w:spacing w:val="0"/>
          <w:sz w:val="21"/>
        </w:rPr>
        <w:t xml:space="preserve"> </w:t>
      </w:r>
      <w:r>
        <w:rPr>
          <w:rFonts w:ascii="宋体" w:hAnsi="宋体" w:cs="宋体"/>
          <w:color w:val="000000"/>
          <w:spacing w:val="0"/>
          <w:sz w:val="21"/>
        </w:rPr>
        <w:t>个省（自治区）和新疆生产建设兵团开展常规巡视，</w:t>
      </w:r>
    </w:p>
    <w:p w14:paraId="6E33A77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同时对昆明市开展提级巡视，并会同有关省委巡视机构对长春等</w:t>
      </w:r>
      <w:r>
        <w:rPr>
          <w:rFonts w:ascii="Times New Roman"/>
          <w:color w:val="000000"/>
          <w:spacing w:val="0"/>
          <w:sz w:val="21"/>
        </w:rPr>
        <w:t xml:space="preserve"> </w:t>
      </w:r>
      <w:r>
        <w:rPr>
          <w:rFonts w:ascii="宋体"/>
          <w:color w:val="000000"/>
          <w:spacing w:val="0"/>
          <w:sz w:val="21"/>
        </w:rPr>
        <w:t>5</w:t>
      </w:r>
      <w:r>
        <w:rPr>
          <w:rFonts w:ascii="Times New Roman"/>
          <w:color w:val="000000"/>
          <w:spacing w:val="0"/>
          <w:sz w:val="21"/>
        </w:rPr>
        <w:t xml:space="preserve"> </w:t>
      </w:r>
      <w:r>
        <w:rPr>
          <w:rFonts w:ascii="宋体" w:hAnsi="宋体" w:cs="宋体"/>
          <w:color w:val="000000"/>
          <w:spacing w:val="0"/>
          <w:sz w:val="21"/>
        </w:rPr>
        <w:t>个副省级城市开展联动巡视。这样的安</w:t>
      </w:r>
    </w:p>
    <w:p w14:paraId="67513A2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排（</w:t>
      </w:r>
      <w:r>
        <w:rPr>
          <w:rFonts w:ascii="Times New Roman"/>
          <w:color w:val="000000"/>
          <w:spacing w:val="263"/>
          <w:sz w:val="21"/>
        </w:rPr>
        <w:t xml:space="preserve"> </w:t>
      </w:r>
      <w:r>
        <w:rPr>
          <w:rFonts w:ascii="宋体" w:hAnsi="宋体" w:cs="宋体"/>
          <w:color w:val="000000"/>
          <w:spacing w:val="0"/>
          <w:sz w:val="21"/>
        </w:rPr>
        <w:t>）</w:t>
      </w:r>
    </w:p>
    <w:p w14:paraId="63F3467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①延伸了党的组织结构，有利于增强党的凝聚力</w:t>
      </w:r>
    </w:p>
    <w:p w14:paraId="3FD1C98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②优化了党的巡视方式，有利于提升党内监督实效</w:t>
      </w:r>
    </w:p>
    <w:p w14:paraId="01C2AB39">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3916F21B">
      <w:pPr>
        <w:spacing w:before="0" w:after="0" w:line="0" w:lineRule="atLeast"/>
        <w:ind w:left="0" w:right="0" w:firstLine="0"/>
        <w:jc w:val="left"/>
        <w:rPr>
          <w:rFonts w:ascii="Arial"/>
          <w:color w:val="FF0000"/>
          <w:spacing w:val="0"/>
          <w:sz w:val="2"/>
        </w:rPr>
      </w:pPr>
    </w:p>
    <w:p w14:paraId="5F159BE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C9CAE4B">
      <w:pPr>
        <w:pStyle w:val="6"/>
        <w:sectPr>
          <w:pgSz w:w="11900" w:h="16840"/>
          <w:pgMar w:top="1440" w:right="100" w:bottom="0" w:left="1080" w:header="720" w:footer="720" w:gutter="0"/>
          <w:pgNumType w:start="1"/>
          <w:cols w:space="720" w:num="1"/>
          <w:docGrid w:linePitch="1" w:charSpace="0"/>
        </w:sectPr>
      </w:pPr>
    </w:p>
    <w:p w14:paraId="21CCE8EC">
      <w:pPr>
        <w:spacing w:before="0" w:after="0" w:line="0" w:lineRule="atLeast"/>
        <w:ind w:left="0" w:right="0" w:firstLine="0"/>
        <w:jc w:val="left"/>
        <w:rPr>
          <w:rFonts w:ascii="Arial"/>
          <w:color w:val="FF0000"/>
          <w:spacing w:val="0"/>
          <w:sz w:val="2"/>
        </w:rPr>
      </w:pPr>
    </w:p>
    <w:p w14:paraId="134837F6">
      <w:pPr>
        <w:spacing w:before="0" w:after="0" w:line="220" w:lineRule="exact"/>
        <w:ind w:left="0" w:right="0" w:firstLine="0"/>
        <w:jc w:val="left"/>
        <w:rPr>
          <w:rFonts w:ascii="Times New Roman"/>
          <w:color w:val="000000"/>
          <w:spacing w:val="0"/>
          <w:sz w:val="21"/>
        </w:rPr>
      </w:pPr>
      <w:bookmarkStart w:id="2" w:name="br3"/>
      <w:bookmarkEnd w:id="2"/>
      <w:r>
        <w:pict>
          <v:shape id="_x0000_s1039" o:spid="_x0000_s1039"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1" o:title=""/>
            <o:lock v:ext="edit" aspectratio="t"/>
          </v:shape>
        </w:pict>
      </w:r>
      <w:r>
        <w:pict>
          <v:shape id="_x0000_s1040" o:spid="_x0000_s1040"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2" o:title=""/>
            <o:lock v:ext="edit" aspectratio="t"/>
          </v:shape>
        </w:pict>
      </w:r>
      <w:r>
        <w:pict>
          <v:shape id="_x0000_s1041" o:spid="_x0000_s1041"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3" o:title=""/>
            <o:lock v:ext="edit" aspectratio="t"/>
          </v:shape>
        </w:pict>
      </w:r>
      <w:r>
        <w:pict>
          <v:shape id="_x0000_s1042" o:spid="_x0000_s1042" o:spt="75" type="#_x0000_t75" style="position:absolute;left:0pt;margin-left:116.05pt;margin-top:93.55pt;height:16.25pt;width:12.5pt;mso-position-horizontal-relative:page;mso-position-vertical-relative:page;z-index:-251639808;mso-width-relative:page;mso-height-relative:page;" filled="f" o:preferrelative="t" stroked="f" coordsize="21600,21600">
            <v:path/>
            <v:fill on="f" focussize="0,0"/>
            <v:stroke on="f" joinstyle="miter"/>
            <v:imagedata r:id="rId14" o:title=""/>
            <o:lock v:ext="edit" aspectratio="t"/>
          </v:shape>
        </w:pict>
      </w:r>
      <w:r>
        <w:pict>
          <v:shape id="_x0000_s1043" o:spid="_x0000_s1043" o:spt="75" type="#_x0000_t75" style="position:absolute;left:0pt;margin-left:60.55pt;margin-top:224.9pt;height:8.75pt;width:4.25pt;mso-position-horizontal-relative:page;mso-position-vertical-relative:page;z-index:-251640832;mso-width-relative:page;mso-height-relative:page;" filled="f" o:preferrelative="t" stroked="f" coordsize="21600,21600">
            <v:path/>
            <v:fill on="f" focussize="0,0"/>
            <v:stroke on="f" joinstyle="miter"/>
            <v:imagedata r:id="rId17" o:title=""/>
            <o:lock v:ext="edit" aspectratio="t"/>
          </v:shape>
        </w:pict>
      </w:r>
      <w:r>
        <w:rPr>
          <w:rFonts w:ascii="宋体" w:hAnsi="宋体" w:cs="宋体"/>
          <w:color w:val="000000"/>
          <w:spacing w:val="0"/>
          <w:sz w:val="21"/>
        </w:rPr>
        <w:t>③体现了巡视的法制化，有利于中央对地方的监督</w:t>
      </w:r>
    </w:p>
    <w:p w14:paraId="45A86AC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④强化了巡视</w:t>
      </w:r>
      <w:r>
        <w:rPr>
          <w:rFonts w:ascii="Times New Roman"/>
          <w:color w:val="000000"/>
          <w:spacing w:val="158"/>
          <w:sz w:val="21"/>
        </w:rPr>
        <w:t xml:space="preserve"> </w:t>
      </w:r>
      <w:r>
        <w:rPr>
          <w:rFonts w:ascii="宋体" w:hAnsi="宋体" w:cs="宋体"/>
          <w:color w:val="000000"/>
          <w:spacing w:val="0"/>
          <w:sz w:val="21"/>
        </w:rPr>
        <w:t>震慑力，有利于维护党中央的权威</w:t>
      </w:r>
    </w:p>
    <w:p w14:paraId="5246A84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31F4C9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某市市委统战部协调市委办公室，邀请民主党派市级组织负责人列席有关市委常委会会议，让民主党派</w:t>
      </w:r>
    </w:p>
    <w:p w14:paraId="4EB7771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及时了解党委政府决策部署，掌握信息动态，从“一旁看”到“一起干”,在实际参与中了解情况、找准问</w:t>
      </w:r>
    </w:p>
    <w:p w14:paraId="1BADE36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题，实现议政议在关键处、建言建在点子上。这种做法旨在（</w:t>
      </w:r>
      <w:r>
        <w:rPr>
          <w:rFonts w:ascii="Times New Roman"/>
          <w:color w:val="000000"/>
          <w:spacing w:val="263"/>
          <w:sz w:val="21"/>
        </w:rPr>
        <w:t xml:space="preserve"> </w:t>
      </w:r>
      <w:r>
        <w:rPr>
          <w:rFonts w:ascii="宋体" w:hAnsi="宋体" w:cs="宋体"/>
          <w:color w:val="000000"/>
          <w:spacing w:val="0"/>
          <w:sz w:val="21"/>
        </w:rPr>
        <w:t>）</w:t>
      </w:r>
    </w:p>
    <w:p w14:paraId="596EA2A1">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搭建学习培训平台，提升依法执政能力水平</w:t>
      </w:r>
    </w:p>
    <w:p w14:paraId="01EDDC1D">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搭建知情明政平台，提高参政议政工作质效</w:t>
      </w:r>
    </w:p>
    <w:p w14:paraId="3CC5504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搭建民主监督平台展现参政议政担当作为</w:t>
      </w:r>
    </w:p>
    <w:p w14:paraId="24E269A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搭建政治协商平台，巩固多党合作政治基础</w:t>
      </w:r>
    </w:p>
    <w:p w14:paraId="5F49F6B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1"/>
          <w:sz w:val="21"/>
        </w:rPr>
        <w:t>在季节感、风物感及情感生成方式上，不同地域文化差异较大。如中国文学主题之一的“悲秋”,宋玉的</w:t>
      </w:r>
    </w:p>
    <w:p w14:paraId="152BB9A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“悲哉秋之为气也”堪称代表。而在岭南，秋花如春花一般依旧灿烂，悲秋的情绪自然是少有的。故有学</w:t>
      </w:r>
    </w:p>
    <w:p w14:paraId="75D5DC1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者认为，刘禹锡“自古逢秋悲寂寥，我言秋日胜春朝”之句，移诸岭南，才是最有普适性的。对此，最恰</w:t>
      </w:r>
    </w:p>
    <w:p w14:paraId="55D30A4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当的哲学解读是（</w:t>
      </w:r>
      <w:r>
        <w:rPr>
          <w:rFonts w:ascii="Times New Roman"/>
          <w:color w:val="000000"/>
          <w:spacing w:val="263"/>
          <w:sz w:val="21"/>
        </w:rPr>
        <w:t xml:space="preserve"> </w:t>
      </w:r>
      <w:r>
        <w:rPr>
          <w:rFonts w:ascii="宋体" w:hAnsi="宋体" w:cs="宋体"/>
          <w:color w:val="000000"/>
          <w:spacing w:val="0"/>
          <w:sz w:val="21"/>
        </w:rPr>
        <w:t>）</w:t>
      </w:r>
    </w:p>
    <w:p w14:paraId="7461074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①悲秋情感表达具有鲜明的主观唯心主义色彩</w:t>
      </w:r>
    </w:p>
    <w:p w14:paraId="0CFA4E3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②悲秋文学主题表达的差异凸显了矛盾的特殊性</w:t>
      </w:r>
    </w:p>
    <w:p w14:paraId="4B8F97A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③感性认识对理性认识的疏离排斥是悲秋情感生成的原因</w:t>
      </w:r>
    </w:p>
    <w:p w14:paraId="3B4AE8E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④地理环境作为社会物质生活条件是悲秋情感生成的基础</w:t>
      </w:r>
    </w:p>
    <w:p w14:paraId="174D03D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1592CF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在工业化早已解放人类双手的今天，手作却悄然成为现代人的休闲新方式。人们根据自己的喜好手工编</w:t>
      </w:r>
    </w:p>
    <w:p w14:paraId="758AEF1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织篮子、制作陶艺。缝制香包，在解压、悦己的体验中消弭了艺术与生活的边界，体现出日常生活审美化</w:t>
      </w:r>
    </w:p>
    <w:p w14:paraId="39A1671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的趋势。这表明（</w:t>
      </w:r>
      <w:r>
        <w:rPr>
          <w:rFonts w:ascii="Times New Roman"/>
          <w:color w:val="000000"/>
          <w:spacing w:val="263"/>
          <w:sz w:val="21"/>
        </w:rPr>
        <w:t xml:space="preserve"> </w:t>
      </w:r>
      <w:r>
        <w:rPr>
          <w:rFonts w:ascii="宋体" w:hAnsi="宋体" w:cs="宋体"/>
          <w:color w:val="000000"/>
          <w:spacing w:val="0"/>
          <w:sz w:val="21"/>
        </w:rPr>
        <w:t>）</w:t>
      </w:r>
    </w:p>
    <w:p w14:paraId="040F48E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①审美实践活动是单个人的孤立的活动</w:t>
      </w:r>
    </w:p>
    <w:p w14:paraId="4A9C77E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②艺术与生活的矛盾在手作中得以消除</w:t>
      </w:r>
    </w:p>
    <w:p w14:paraId="7775306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③劳动在创造美好生活的同时也塑造人</w:t>
      </w:r>
    </w:p>
    <w:p w14:paraId="36ED91F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④审美方式的变化源自社会生活的变化</w:t>
      </w:r>
    </w:p>
    <w:p w14:paraId="2A355BE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957ED7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下图漫画“个人力量是加法，团队力量是乘法”蕴含的哲理是（</w:t>
      </w:r>
      <w:r>
        <w:rPr>
          <w:rFonts w:ascii="Times New Roman"/>
          <w:color w:val="000000"/>
          <w:spacing w:val="263"/>
          <w:sz w:val="21"/>
        </w:rPr>
        <w:t xml:space="preserve"> </w:t>
      </w:r>
      <w:r>
        <w:rPr>
          <w:rFonts w:ascii="宋体" w:hAnsi="宋体" w:cs="宋体"/>
          <w:color w:val="000000"/>
          <w:spacing w:val="0"/>
          <w:sz w:val="21"/>
        </w:rPr>
        <w:t>）</w:t>
      </w:r>
    </w:p>
    <w:p w14:paraId="08549FC1">
      <w:pPr>
        <w:spacing w:before="88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62405720">
      <w:pPr>
        <w:spacing w:before="0" w:after="0" w:line="0" w:lineRule="atLeast"/>
        <w:ind w:left="0" w:right="0" w:firstLine="0"/>
        <w:jc w:val="left"/>
        <w:rPr>
          <w:rFonts w:ascii="Arial"/>
          <w:color w:val="FF0000"/>
          <w:spacing w:val="0"/>
          <w:sz w:val="2"/>
        </w:rPr>
      </w:pPr>
    </w:p>
    <w:p w14:paraId="7DD5D7A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16601B0">
      <w:pPr>
        <w:pStyle w:val="6"/>
        <w:sectPr>
          <w:pgSz w:w="11900" w:h="16840"/>
          <w:pgMar w:top="1452" w:right="100" w:bottom="0" w:left="1080" w:header="720" w:footer="720" w:gutter="0"/>
          <w:pgNumType w:start="1"/>
          <w:cols w:space="720" w:num="1"/>
          <w:docGrid w:linePitch="1" w:charSpace="0"/>
        </w:sectPr>
      </w:pPr>
    </w:p>
    <w:p w14:paraId="3A8EA695">
      <w:pPr>
        <w:spacing w:before="0" w:after="0" w:line="0" w:lineRule="atLeast"/>
        <w:ind w:left="0" w:right="0" w:firstLine="0"/>
        <w:jc w:val="left"/>
        <w:rPr>
          <w:rFonts w:ascii="Arial"/>
          <w:color w:val="FF0000"/>
          <w:spacing w:val="0"/>
          <w:sz w:val="2"/>
        </w:rPr>
      </w:pPr>
    </w:p>
    <w:p w14:paraId="2B3DECF4">
      <w:pPr>
        <w:spacing w:before="0" w:after="0" w:line="220" w:lineRule="exact"/>
        <w:ind w:left="0" w:right="0" w:firstLine="0"/>
        <w:jc w:val="left"/>
        <w:rPr>
          <w:rFonts w:ascii="Times New Roman"/>
          <w:color w:val="000000"/>
          <w:spacing w:val="0"/>
          <w:sz w:val="21"/>
        </w:rPr>
      </w:pPr>
      <w:bookmarkStart w:id="3" w:name="br4"/>
      <w:bookmarkEnd w:id="3"/>
      <w:r>
        <w:pict>
          <v:shape id="_x0000_s1046" o:spid="_x0000_s1046" o:spt="75" type="#_x0000_t75" style="position:absolute;left:0pt;margin-left:404.15pt;margin-top:72.55pt;height:2.75pt;width:2.75pt;mso-position-horizontal-relative:page;mso-position-vertical-relative:page;z-index:-251641856;mso-width-relative:page;mso-height-relative:page;" filled="f" o:preferrelative="t" stroked="f" coordsize="21600,21600">
            <v:path/>
            <v:fill on="f" focussize="0,0"/>
            <v:stroke on="f" joinstyle="miter"/>
            <v:imagedata r:id="rId11" o:title=""/>
            <o:lock v:ext="edit" aspectratio="t"/>
          </v:shape>
        </w:pict>
      </w:r>
      <w:r>
        <w:pict>
          <v:shape id="_x0000_s1047" o:spid="_x0000_s1047" o:spt="75" type="#_x0000_t75" style="position:absolute;left:0pt;margin-left:212.1pt;margin-top:473.3pt;height:5.75pt;width:5pt;mso-position-horizontal-relative:page;mso-position-vertical-relative:page;z-index:-251642880;mso-width-relative:page;mso-height-relative:page;" filled="f" o:preferrelative="t" stroked="f" coordsize="21600,21600">
            <v:path/>
            <v:fill on="f" focussize="0,0"/>
            <v:stroke on="f" joinstyle="miter"/>
            <v:imagedata r:id="rId12" o:title=""/>
            <o:lock v:ext="edit" aspectratio="t"/>
          </v:shape>
        </w:pict>
      </w:r>
      <w:r>
        <w:pict>
          <v:shape id="_x0000_s1048" o:spid="_x0000_s1048" o:spt="75" type="#_x0000_t75" style="position:absolute;left:0pt;margin-left:116.8pt;margin-top:769.7pt;height:2.75pt;width:2.75pt;mso-position-horizontal-relative:page;mso-position-vertical-relative:page;z-index:-251643904;mso-width-relative:page;mso-height-relative:page;" filled="f" o:preferrelative="t" stroked="f" coordsize="21600,21600">
            <v:path/>
            <v:fill on="f" focussize="0,0"/>
            <v:stroke on="f" joinstyle="miter"/>
            <v:imagedata r:id="rId18" o:title=""/>
            <o:lock v:ext="edit" aspectratio="t"/>
          </v:shape>
        </w:pict>
      </w:r>
      <w:r>
        <w:pict>
          <v:shape id="_x0000_s1049" o:spid="_x0000_s1049" o:spt="75" type="#_x0000_t75" style="position:absolute;left:0pt;margin-left:53pt;margin-top:69.55pt;height:149.85pt;width:140.8pt;mso-position-horizontal-relative:page;mso-position-vertical-relative:page;z-index:-251644928;mso-width-relative:page;mso-height-relative:page;" filled="f" o:preferrelative="t" stroked="f" coordsize="21600,21600">
            <v:path/>
            <v:fill on="f" focussize="0,0"/>
            <v:stroke on="f" joinstyle="miter"/>
            <v:imagedata r:id="rId19" o:title=""/>
            <o:lock v:ext="edit" aspectratio="t"/>
          </v:shape>
        </w:pict>
      </w:r>
      <w:r>
        <w:pict>
          <v:shape id="_x0000_s1050" o:spid="_x0000_s1050" o:spt="75" type="#_x0000_t75" style="position:absolute;left:0pt;margin-left:294.6pt;margin-top:530.3pt;height:16.25pt;width:12.5pt;mso-position-horizontal-relative:page;mso-position-vertical-relative:page;z-index:-251645952;mso-width-relative:page;mso-height-relative:page;" filled="f" o:preferrelative="t" stroked="f" coordsize="21600,21600">
            <v:path/>
            <v:fill on="f" focussize="0,0"/>
            <v:stroke on="f" joinstyle="miter"/>
            <v:imagedata r:id="rId15" o:title=""/>
            <o:lock v:ext="edit" aspectratio="t"/>
          </v:shape>
        </w:pict>
      </w:r>
      <w:r>
        <w:rPr>
          <w:rFonts w:ascii="宋体" w:hAnsi="宋体" w:cs="宋体"/>
          <w:color w:val="000000"/>
          <w:spacing w:val="0"/>
          <w:sz w:val="21"/>
        </w:rPr>
        <w:t>①整体具有部分所不具备的功能和作用</w:t>
      </w:r>
      <w:r>
        <w:rPr>
          <w:rFonts w:ascii="Times New Roman"/>
          <w:color w:val="000000"/>
          <w:spacing w:val="788"/>
          <w:sz w:val="21"/>
        </w:rPr>
        <w:t xml:space="preserve"> </w:t>
      </w:r>
      <w:r>
        <w:rPr>
          <w:rFonts w:ascii="宋体" w:hAnsi="宋体" w:cs="宋体"/>
          <w:color w:val="000000"/>
          <w:spacing w:val="0"/>
          <w:sz w:val="21"/>
        </w:rPr>
        <w:t>②个人与团队之间的矛盾必然具有同一性</w:t>
      </w:r>
    </w:p>
    <w:p w14:paraId="5311AB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③事物本身的联系是主体自觉建构的产物</w:t>
      </w:r>
      <w:r>
        <w:rPr>
          <w:rFonts w:ascii="Times New Roman"/>
          <w:color w:val="000000"/>
          <w:spacing w:val="368"/>
          <w:sz w:val="21"/>
        </w:rPr>
        <w:t xml:space="preserve"> </w:t>
      </w:r>
      <w:r>
        <w:rPr>
          <w:rFonts w:ascii="宋体" w:hAnsi="宋体" w:cs="宋体"/>
          <w:color w:val="000000"/>
          <w:spacing w:val="0"/>
          <w:sz w:val="21"/>
        </w:rPr>
        <w:t>④个人奋斗和自我实现是团队成功的前提</w:t>
      </w:r>
    </w:p>
    <w:p w14:paraId="52D80F2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1D0AFCC">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我国素有“礼仪之邦”的美称。礼仪文化历经传承与发展，在社会生活中仍发挥着重要作用：在国家公</w:t>
      </w:r>
    </w:p>
    <w:p w14:paraId="702924F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共领域，国家勋章和国家荣誉称号颁授仪式、国家工作人员宪法宣誓仪式、先烈纪念日礼敬仪式等均有力</w:t>
      </w:r>
    </w:p>
    <w:p w14:paraId="0C21FB3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提升了国家形象；在社会及个人领域，诞生礼、成人仪式、职业礼仪等也深刻影响着人们的生活样式。由</w:t>
      </w:r>
    </w:p>
    <w:p w14:paraId="594B95D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此可见（</w:t>
      </w:r>
      <w:r>
        <w:rPr>
          <w:rFonts w:ascii="Times New Roman"/>
          <w:color w:val="000000"/>
          <w:spacing w:val="263"/>
          <w:sz w:val="21"/>
        </w:rPr>
        <w:t xml:space="preserve"> </w:t>
      </w:r>
      <w:r>
        <w:rPr>
          <w:rFonts w:ascii="宋体" w:hAnsi="宋体" w:cs="宋体"/>
          <w:color w:val="000000"/>
          <w:spacing w:val="0"/>
          <w:sz w:val="21"/>
        </w:rPr>
        <w:t>）</w:t>
      </w:r>
    </w:p>
    <w:p w14:paraId="7EA173C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①礼仪文明成为提高国家文化软实力的关键因素</w:t>
      </w:r>
    </w:p>
    <w:p w14:paraId="6C1340D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②礼仪文化对于构建现代国家文明具有重要价值</w:t>
      </w:r>
    </w:p>
    <w:p w14:paraId="3EFE08F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③礼仪作为重要的文化载体具有成风化人的功能</w:t>
      </w:r>
    </w:p>
    <w:p w14:paraId="0E0B21F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④传统礼仪集中体现了中华民族的整体风貌和文明素养</w:t>
      </w:r>
    </w:p>
    <w:p w14:paraId="726F52A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FAB11A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color w:val="000000"/>
          <w:spacing w:val="0"/>
          <w:sz w:val="21"/>
        </w:rPr>
        <w:t>2024</w:t>
      </w:r>
      <w:r>
        <w:rPr>
          <w:rFonts w:ascii="Times New Roman"/>
          <w:color w:val="000000"/>
          <w:spacing w:val="0"/>
          <w:sz w:val="21"/>
        </w:rPr>
        <w:t xml:space="preserve"> </w:t>
      </w:r>
      <w:r>
        <w:rPr>
          <w:rFonts w:ascii="宋体" w:hAnsi="宋体" w:cs="宋体"/>
          <w:color w:val="000000"/>
          <w:spacing w:val="0"/>
          <w:sz w:val="21"/>
        </w:rPr>
        <w:t>年，应香港、澳门特区政府请求，国务院批准增加西安、青岛等市为内地赴港澳“个人游”城市。</w:t>
      </w:r>
    </w:p>
    <w:p w14:paraId="737E813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随着内地赴港澳“个人游”城市不断增加，越来越多</w:t>
      </w:r>
      <w:r>
        <w:rPr>
          <w:rFonts w:ascii="Times New Roman"/>
          <w:color w:val="000000"/>
          <w:spacing w:val="158"/>
          <w:sz w:val="21"/>
        </w:rPr>
        <w:t xml:space="preserve"> </w:t>
      </w:r>
      <w:r>
        <w:rPr>
          <w:rFonts w:ascii="宋体" w:hAnsi="宋体" w:cs="宋体"/>
          <w:color w:val="000000"/>
          <w:spacing w:val="0"/>
          <w:sz w:val="21"/>
        </w:rPr>
        <w:t>内地居民实现说走就走的港澳行。中央政府这一举</w:t>
      </w:r>
    </w:p>
    <w:p w14:paraId="2873B33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措有利于（</w:t>
      </w:r>
      <w:r>
        <w:rPr>
          <w:rFonts w:ascii="Times New Roman"/>
          <w:color w:val="000000"/>
          <w:spacing w:val="263"/>
          <w:sz w:val="21"/>
        </w:rPr>
        <w:t xml:space="preserve"> </w:t>
      </w:r>
      <w:r>
        <w:rPr>
          <w:rFonts w:ascii="宋体" w:hAnsi="宋体" w:cs="宋体"/>
          <w:color w:val="000000"/>
          <w:spacing w:val="0"/>
          <w:sz w:val="21"/>
        </w:rPr>
        <w:t>）</w:t>
      </w:r>
    </w:p>
    <w:p w14:paraId="6365FDF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①增加港澳特区企业在内地的投资收益</w:t>
      </w:r>
    </w:p>
    <w:p w14:paraId="1762DE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②港澳特区融入国家发展大局</w:t>
      </w:r>
    </w:p>
    <w:p w14:paraId="39CE47C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③提高港澳特区人员赴内地旅游的便利性</w:t>
      </w:r>
    </w:p>
    <w:p w14:paraId="388125E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④促进港澳特区经济社会发展</w:t>
      </w:r>
    </w:p>
    <w:p w14:paraId="596976A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EA8F2C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截至</w:t>
      </w:r>
      <w:r>
        <w:rPr>
          <w:rFonts w:ascii="Times New Roman"/>
          <w:color w:val="000000"/>
          <w:spacing w:val="-22"/>
          <w:sz w:val="21"/>
        </w:rPr>
        <w:t xml:space="preserve"> </w:t>
      </w:r>
      <w:r>
        <w:rPr>
          <w:rFonts w:ascii="宋体"/>
          <w:color w:val="000000"/>
          <w:spacing w:val="0"/>
          <w:sz w:val="21"/>
        </w:rPr>
        <w:t>2024</w:t>
      </w:r>
      <w:r>
        <w:rPr>
          <w:rFonts w:ascii="Times New Roman"/>
          <w:color w:val="000000"/>
          <w:spacing w:val="-22"/>
          <w:sz w:val="21"/>
        </w:rPr>
        <w:t xml:space="preserve"> </w:t>
      </w:r>
      <w:r>
        <w:rPr>
          <w:rFonts w:ascii="宋体" w:hAnsi="宋体" w:cs="宋体"/>
          <w:color w:val="000000"/>
          <w:spacing w:val="-4"/>
          <w:sz w:val="21"/>
        </w:rPr>
        <w:t>年底，全球南方国家对世界经济增长的贡献率已达</w:t>
      </w:r>
      <w:r>
        <w:rPr>
          <w:rFonts w:ascii="Times New Roman"/>
          <w:color w:val="000000"/>
          <w:spacing w:val="-22"/>
          <w:sz w:val="21"/>
        </w:rPr>
        <w:t xml:space="preserve"> </w:t>
      </w:r>
      <w:r>
        <w:rPr>
          <w:rFonts w:ascii="宋体" w:hAnsi="宋体" w:cs="宋体"/>
          <w:color w:val="000000"/>
          <w:spacing w:val="0"/>
          <w:sz w:val="21"/>
        </w:rPr>
        <w:t>80%,其国内生产总值占世界的份额超过</w:t>
      </w:r>
      <w:r>
        <w:rPr>
          <w:rFonts w:ascii="Times New Roman"/>
          <w:color w:val="000000"/>
          <w:spacing w:val="-22"/>
          <w:sz w:val="21"/>
        </w:rPr>
        <w:t xml:space="preserve"> </w:t>
      </w:r>
      <w:r>
        <w:rPr>
          <w:rFonts w:ascii="宋体" w:hAnsi="宋体" w:cs="宋体"/>
          <w:color w:val="000000"/>
          <w:spacing w:val="0"/>
          <w:sz w:val="21"/>
        </w:rPr>
        <w:t>40%。</w:t>
      </w:r>
    </w:p>
    <w:p w14:paraId="4F03514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同时，全球南方国家对全球治理体系的改革呼声取得一定效果，在新兴多边体系中的影响力明显上升。对</w:t>
      </w:r>
    </w:p>
    <w:p w14:paraId="7D70CC2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此，理解正确的（</w:t>
      </w:r>
      <w:r>
        <w:rPr>
          <w:rFonts w:ascii="Times New Roman"/>
          <w:color w:val="000000"/>
          <w:spacing w:val="263"/>
          <w:sz w:val="21"/>
        </w:rPr>
        <w:t xml:space="preserve"> </w:t>
      </w:r>
      <w:r>
        <w:rPr>
          <w:rFonts w:ascii="宋体" w:hAnsi="宋体" w:cs="宋体"/>
          <w:color w:val="000000"/>
          <w:spacing w:val="0"/>
          <w:sz w:val="21"/>
        </w:rPr>
        <w:t>）</w:t>
      </w:r>
    </w:p>
    <w:p w14:paraId="008FDECA">
      <w:pPr>
        <w:spacing w:before="2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2EF8AE26">
      <w:pPr>
        <w:spacing w:before="0" w:after="0" w:line="0" w:lineRule="atLeast"/>
        <w:ind w:left="0" w:right="0" w:firstLine="0"/>
        <w:jc w:val="left"/>
        <w:rPr>
          <w:rFonts w:ascii="Arial"/>
          <w:color w:val="FF0000"/>
          <w:spacing w:val="0"/>
          <w:sz w:val="2"/>
        </w:rPr>
      </w:pPr>
    </w:p>
    <w:p w14:paraId="76386721">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913B478">
      <w:pPr>
        <w:pStyle w:val="6"/>
        <w:sectPr>
          <w:pgSz w:w="11900" w:h="16840"/>
          <w:pgMar w:top="4573" w:right="100" w:bottom="0" w:left="1080" w:header="720" w:footer="720" w:gutter="0"/>
          <w:pgNumType w:start="1"/>
          <w:cols w:space="720" w:num="1"/>
          <w:docGrid w:linePitch="1" w:charSpace="0"/>
        </w:sectPr>
      </w:pPr>
    </w:p>
    <w:p w14:paraId="0FFD5668">
      <w:pPr>
        <w:spacing w:before="0" w:after="0" w:line="0" w:lineRule="atLeast"/>
        <w:ind w:left="0" w:right="0" w:firstLine="0"/>
        <w:jc w:val="left"/>
        <w:rPr>
          <w:rFonts w:ascii="Arial"/>
          <w:color w:val="FF0000"/>
          <w:spacing w:val="0"/>
          <w:sz w:val="2"/>
        </w:rPr>
      </w:pPr>
    </w:p>
    <w:p w14:paraId="4B67C892">
      <w:pPr>
        <w:spacing w:before="0" w:after="0" w:line="220" w:lineRule="exact"/>
        <w:ind w:left="0" w:right="0" w:firstLine="0"/>
        <w:jc w:val="left"/>
        <w:rPr>
          <w:rFonts w:ascii="Times New Roman"/>
          <w:color w:val="000000"/>
          <w:spacing w:val="0"/>
          <w:sz w:val="21"/>
        </w:rPr>
      </w:pPr>
      <w:bookmarkStart w:id="4" w:name="br5"/>
      <w:bookmarkEnd w:id="4"/>
      <w:r>
        <w:pict>
          <v:shape id="_x0000_s1053" o:spid="_x0000_s1053" o:spt="75" type="#_x0000_t75" style="position:absolute;left:0pt;margin-left:404.15pt;margin-top:72.55pt;height:2.75pt;width:2.75pt;mso-position-horizontal-relative:page;mso-position-vertical-relative:page;z-index:-251646976;mso-width-relative:page;mso-height-relative:page;" filled="f" o:preferrelative="t" stroked="f" coordsize="21600,21600">
            <v:path/>
            <v:fill on="f" focussize="0,0"/>
            <v:stroke on="f" joinstyle="miter"/>
            <v:imagedata r:id="rId11" o:title=""/>
            <o:lock v:ext="edit" aspectratio="t"/>
          </v:shape>
        </w:pict>
      </w:r>
      <w:r>
        <w:pict>
          <v:shape id="_x0000_s1054" o:spid="_x0000_s1054" o:spt="75" type="#_x0000_t75" style="position:absolute;left:0pt;margin-left:212.1pt;margin-top:473.3pt;height:5.75pt;width:5pt;mso-position-horizontal-relative:page;mso-position-vertical-relative:page;z-index:-251648000;mso-width-relative:page;mso-height-relative:page;" filled="f" o:preferrelative="t" stroked="f" coordsize="21600,21600">
            <v:path/>
            <v:fill on="f" focussize="0,0"/>
            <v:stroke on="f" joinstyle="miter"/>
            <v:imagedata r:id="rId12" o:title=""/>
            <o:lock v:ext="edit" aspectratio="t"/>
          </v:shape>
        </w:pict>
      </w:r>
      <w:r>
        <w:pict>
          <v:shape id="_x0000_s1055" o:spid="_x0000_s1055"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8" o:title=""/>
            <o:lock v:ext="edit" aspectratio="t"/>
          </v:shape>
        </w:pict>
      </w:r>
      <w:r>
        <w:pict>
          <v:shape id="_x0000_s1056" o:spid="_x0000_s1056" o:spt="75" type="#_x0000_t75" style="position:absolute;left:0pt;margin-left:53pt;margin-top:609.85pt;height:68.05pt;width:414.65pt;mso-position-horizontal-relative:page;mso-position-vertical-relative:page;z-index:-251650048;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①全球治理体系改革已取得突破性进展</w:t>
      </w:r>
    </w:p>
    <w:p w14:paraId="488E712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②全球南方国家是世界经济增长的引擎</w:t>
      </w:r>
    </w:p>
    <w:p w14:paraId="0889D9A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③全球南方国家是新兴多边体系发展的决定性因素</w:t>
      </w:r>
    </w:p>
    <w:p w14:paraId="75F7682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④全球南方国家成为推进全球治理体系改革的重要力量</w:t>
      </w:r>
    </w:p>
    <w:p w14:paraId="4DAF3C7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2C7609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某中学高二（1）班开展专题研讨，同学们就《中华人民共和国民法典》的适用范围问题展开热烈讨论。</w:t>
      </w:r>
    </w:p>
    <w:p w14:paraId="2B154FB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下列社会关系适用民法典调整的是（</w:t>
      </w:r>
      <w:r>
        <w:rPr>
          <w:rFonts w:ascii="Times New Roman"/>
          <w:color w:val="000000"/>
          <w:spacing w:val="263"/>
          <w:sz w:val="21"/>
        </w:rPr>
        <w:t xml:space="preserve"> </w:t>
      </w:r>
      <w:r>
        <w:rPr>
          <w:rFonts w:ascii="宋体" w:hAnsi="宋体" w:cs="宋体"/>
          <w:color w:val="000000"/>
          <w:spacing w:val="0"/>
          <w:sz w:val="21"/>
        </w:rPr>
        <w:t>）</w:t>
      </w:r>
    </w:p>
    <w:p w14:paraId="6E32591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①甲承包经营的村集体鱼塘期限未满被收回</w:t>
      </w:r>
    </w:p>
    <w:p w14:paraId="0A3AAD6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②乙自主创业，向相关行政主管部门申请办理企业登记</w:t>
      </w:r>
    </w:p>
    <w:p w14:paraId="653858D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③丙丢失宠物猫，发寻猫启事，承诺给予送还者酬金</w:t>
      </w:r>
      <w:r>
        <w:rPr>
          <w:rFonts w:ascii="Times New Roman"/>
          <w:color w:val="000000"/>
          <w:spacing w:val="0"/>
          <w:sz w:val="21"/>
        </w:rPr>
        <w:t xml:space="preserve"> </w:t>
      </w:r>
      <w:r>
        <w:rPr>
          <w:rFonts w:ascii="宋体"/>
          <w:color w:val="000000"/>
          <w:spacing w:val="0"/>
          <w:sz w:val="21"/>
        </w:rPr>
        <w:t>300</w:t>
      </w:r>
      <w:r>
        <w:rPr>
          <w:rFonts w:ascii="Times New Roman"/>
          <w:color w:val="000000"/>
          <w:spacing w:val="0"/>
          <w:sz w:val="21"/>
        </w:rPr>
        <w:t xml:space="preserve"> </w:t>
      </w:r>
      <w:r>
        <w:rPr>
          <w:rFonts w:ascii="宋体" w:hAnsi="宋体" w:cs="宋体"/>
          <w:color w:val="000000"/>
          <w:spacing w:val="0"/>
          <w:sz w:val="21"/>
        </w:rPr>
        <w:t>元</w:t>
      </w:r>
    </w:p>
    <w:p w14:paraId="11A9FD1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④丁对同学表示，如果自己在跳高比赛中获得冠军，将来就报考体育学院</w:t>
      </w:r>
    </w:p>
    <w:p w14:paraId="0353C1E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572C2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15. </w:t>
      </w:r>
      <w:r>
        <w:rPr>
          <w:rFonts w:ascii="宋体"/>
          <w:color w:val="000000"/>
          <w:spacing w:val="0"/>
          <w:sz w:val="21"/>
        </w:rPr>
        <w:t>2025</w:t>
      </w:r>
      <w:r>
        <w:rPr>
          <w:rFonts w:ascii="Times New Roman"/>
          <w:color w:val="000000"/>
          <w:spacing w:val="0"/>
          <w:sz w:val="21"/>
        </w:rPr>
        <w:t xml:space="preserve"> </w:t>
      </w:r>
      <w:r>
        <w:rPr>
          <w:rFonts w:ascii="宋体" w:hAnsi="宋体" w:cs="宋体"/>
          <w:color w:val="000000"/>
          <w:spacing w:val="0"/>
          <w:sz w:val="21"/>
        </w:rPr>
        <w:t>年春节，7</w:t>
      </w:r>
      <w:r>
        <w:rPr>
          <w:rFonts w:ascii="Times New Roman"/>
          <w:color w:val="000000"/>
          <w:spacing w:val="0"/>
          <w:sz w:val="21"/>
        </w:rPr>
        <w:t xml:space="preserve"> </w:t>
      </w:r>
      <w:r>
        <w:rPr>
          <w:rFonts w:ascii="宋体" w:hAnsi="宋体" w:cs="宋体"/>
          <w:color w:val="000000"/>
          <w:spacing w:val="0"/>
          <w:sz w:val="21"/>
        </w:rPr>
        <w:t>岁女孩甲收到压岁钱</w:t>
      </w:r>
      <w:r>
        <w:rPr>
          <w:rFonts w:ascii="Times New Roman"/>
          <w:color w:val="000000"/>
          <w:spacing w:val="0"/>
          <w:sz w:val="21"/>
        </w:rPr>
        <w:t xml:space="preserve"> </w:t>
      </w:r>
      <w:r>
        <w:rPr>
          <w:rFonts w:ascii="宋体"/>
          <w:color w:val="000000"/>
          <w:spacing w:val="0"/>
          <w:sz w:val="21"/>
        </w:rPr>
        <w:t>2000</w:t>
      </w:r>
      <w:r>
        <w:rPr>
          <w:rFonts w:ascii="Times New Roman"/>
          <w:color w:val="000000"/>
          <w:spacing w:val="53"/>
          <w:sz w:val="21"/>
        </w:rPr>
        <w:t xml:space="preserve"> </w:t>
      </w:r>
      <w:r>
        <w:rPr>
          <w:rFonts w:ascii="宋体" w:hAnsi="宋体" w:cs="宋体"/>
          <w:color w:val="000000"/>
          <w:spacing w:val="0"/>
          <w:sz w:val="21"/>
        </w:rPr>
        <w:t>元，其叔叔乙以代为保管的名义将甲的压岁钱收走。甲的父</w:t>
      </w:r>
    </w:p>
    <w:p w14:paraId="15D6E26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母知晓后要求乙返还，乙不愿返还，认为自己是甲的亲叔叔，也有监护的职责。对此，以下说法正确的是</w:t>
      </w:r>
    </w:p>
    <w:p w14:paraId="414711C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263"/>
          <w:sz w:val="21"/>
        </w:rPr>
        <w:t xml:space="preserve"> </w:t>
      </w:r>
      <w:r>
        <w:rPr>
          <w:rFonts w:ascii="宋体" w:hAnsi="宋体" w:cs="宋体"/>
          <w:color w:val="000000"/>
          <w:spacing w:val="0"/>
          <w:sz w:val="21"/>
        </w:rPr>
        <w:t>）</w:t>
      </w:r>
    </w:p>
    <w:p w14:paraId="4860013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①甲对自己的行为已有基本认知，具有民事权利能力</w:t>
      </w:r>
    </w:p>
    <w:p w14:paraId="4FACF26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②乙是甲的亲叔叔，有权利对甲的行为进行约束和引导</w:t>
      </w:r>
    </w:p>
    <w:p w14:paraId="56E54A1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③甲的父母是甲的法定监护人，可以履行对甲的监护职责</w:t>
      </w:r>
    </w:p>
    <w:p w14:paraId="2C71647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④甲的父母应当保护甲的财产利益，有权利要求乙返还甲的压岁钱</w:t>
      </w:r>
    </w:p>
    <w:p w14:paraId="4BFF193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448C48E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16. </w:t>
      </w:r>
      <w:r>
        <w:rPr>
          <w:rFonts w:ascii="宋体"/>
          <w:color w:val="000000"/>
          <w:spacing w:val="0"/>
          <w:sz w:val="21"/>
        </w:rPr>
        <w:t>2025</w:t>
      </w:r>
      <w:r>
        <w:rPr>
          <w:rFonts w:ascii="Times New Roman"/>
          <w:color w:val="000000"/>
          <w:spacing w:val="-1"/>
          <w:sz w:val="21"/>
        </w:rPr>
        <w:t xml:space="preserve"> </w:t>
      </w:r>
      <w:r>
        <w:rPr>
          <w:rFonts w:ascii="宋体" w:hAnsi="宋体" w:cs="宋体"/>
          <w:color w:val="000000"/>
          <w:spacing w:val="0"/>
          <w:sz w:val="21"/>
        </w:rPr>
        <w:t>年</w:t>
      </w:r>
      <w:r>
        <w:rPr>
          <w:rFonts w:ascii="Times New Roman"/>
          <w:color w:val="000000"/>
          <w:spacing w:val="-1"/>
          <w:sz w:val="21"/>
        </w:rPr>
        <w:t xml:space="preserve"> </w:t>
      </w:r>
      <w:r>
        <w:rPr>
          <w:rFonts w:ascii="宋体"/>
          <w:color w:val="000000"/>
          <w:spacing w:val="0"/>
          <w:sz w:val="21"/>
        </w:rPr>
        <w:t>4</w:t>
      </w:r>
      <w:r>
        <w:rPr>
          <w:rFonts w:ascii="Times New Roman"/>
          <w:color w:val="000000"/>
          <w:spacing w:val="-1"/>
          <w:sz w:val="21"/>
        </w:rPr>
        <w:t xml:space="preserve"> </w:t>
      </w:r>
      <w:r>
        <w:rPr>
          <w:rFonts w:ascii="宋体" w:hAnsi="宋体" w:cs="宋体"/>
          <w:color w:val="000000"/>
          <w:spacing w:val="0"/>
          <w:sz w:val="21"/>
        </w:rPr>
        <w:t>月</w:t>
      </w:r>
      <w:r>
        <w:rPr>
          <w:rFonts w:ascii="Times New Roman"/>
          <w:color w:val="000000"/>
          <w:spacing w:val="-1"/>
          <w:sz w:val="21"/>
        </w:rPr>
        <w:t xml:space="preserve"> </w:t>
      </w:r>
      <w:r>
        <w:rPr>
          <w:rFonts w:ascii="宋体"/>
          <w:color w:val="000000"/>
          <w:spacing w:val="0"/>
          <w:sz w:val="21"/>
        </w:rPr>
        <w:t>19</w:t>
      </w:r>
      <w:r>
        <w:rPr>
          <w:rFonts w:ascii="Times New Roman"/>
          <w:color w:val="000000"/>
          <w:spacing w:val="53"/>
          <w:sz w:val="21"/>
        </w:rPr>
        <w:t xml:space="preserve"> </w:t>
      </w:r>
      <w:r>
        <w:rPr>
          <w:rFonts w:ascii="宋体" w:hAnsi="宋体" w:cs="宋体"/>
          <w:color w:val="000000"/>
          <w:spacing w:val="0"/>
          <w:sz w:val="21"/>
        </w:rPr>
        <w:t>日，全球首个人形机器人半程马拉松赛事在北京举行。根据赛事要求，参赛机器人须具</w:t>
      </w:r>
    </w:p>
    <w:p w14:paraId="528276A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备人形外观，实现双足行走或奔跑，禁止轮式结构。已知甲企业生产的所有机器人都符合参赛要求，则以</w:t>
      </w:r>
    </w:p>
    <w:p w14:paraId="572CC2C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下情形一定正确的是（</w:t>
      </w:r>
      <w:r>
        <w:rPr>
          <w:rFonts w:ascii="Times New Roman"/>
          <w:color w:val="000000"/>
          <w:spacing w:val="263"/>
          <w:sz w:val="21"/>
        </w:rPr>
        <w:t xml:space="preserve"> </w:t>
      </w:r>
      <w:r>
        <w:rPr>
          <w:rFonts w:ascii="宋体" w:hAnsi="宋体" w:cs="宋体"/>
          <w:color w:val="000000"/>
          <w:spacing w:val="0"/>
          <w:sz w:val="21"/>
        </w:rPr>
        <w:t>）</w:t>
      </w:r>
    </w:p>
    <w:p w14:paraId="04A9A155">
      <w:pPr>
        <w:spacing w:before="1798"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318D9B6">
      <w:pPr>
        <w:spacing w:before="174" w:after="0" w:line="250" w:lineRule="exact"/>
        <w:ind w:left="0" w:right="0" w:firstLine="0"/>
        <w:jc w:val="left"/>
        <w:rPr>
          <w:rFonts w:ascii="Times New Roman"/>
          <w:color w:val="000000"/>
          <w:spacing w:val="0"/>
          <w:sz w:val="24"/>
        </w:rPr>
      </w:pPr>
      <w:r>
        <w:rPr>
          <w:rFonts w:ascii="宋体" w:hAnsi="宋体" w:cs="宋体"/>
          <w:color w:val="000000"/>
          <w:spacing w:val="2"/>
          <w:sz w:val="24"/>
        </w:rPr>
        <w:t>二、非选择题：本大题共</w:t>
      </w:r>
      <w:r>
        <w:rPr>
          <w:rFonts w:ascii="Times New Roman"/>
          <w:color w:val="000000"/>
          <w:spacing w:val="-1"/>
          <w:sz w:val="24"/>
        </w:rPr>
        <w:t xml:space="preserve"> </w:t>
      </w:r>
      <w:r>
        <w:rPr>
          <w:rFonts w:ascii="宋体"/>
          <w:color w:val="000000"/>
          <w:spacing w:val="0"/>
          <w:sz w:val="24"/>
        </w:rPr>
        <w:t>4</w:t>
      </w:r>
      <w:r>
        <w:rPr>
          <w:rFonts w:ascii="Times New Roman"/>
          <w:color w:val="000000"/>
          <w:spacing w:val="7"/>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宋体"/>
          <w:color w:val="000000"/>
          <w:spacing w:val="7"/>
          <w:sz w:val="24"/>
        </w:rPr>
        <w:t>52</w:t>
      </w:r>
      <w:r>
        <w:rPr>
          <w:rFonts w:ascii="Times New Roman"/>
          <w:color w:val="000000"/>
          <w:spacing w:val="0"/>
          <w:sz w:val="24"/>
        </w:rPr>
        <w:t xml:space="preserve"> </w:t>
      </w:r>
      <w:r>
        <w:rPr>
          <w:rFonts w:ascii="宋体" w:hAnsi="宋体" w:cs="宋体"/>
          <w:color w:val="000000"/>
          <w:spacing w:val="1"/>
          <w:sz w:val="24"/>
        </w:rPr>
        <w:t>分。考生根据要求作答。</w:t>
      </w:r>
    </w:p>
    <w:p w14:paraId="09F84BED">
      <w:pPr>
        <w:spacing w:before="173"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阅读材料，完成下列要求。</w:t>
      </w:r>
    </w:p>
    <w:p w14:paraId="1DAB0C22">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0"/>
          <w:sz w:val="21"/>
        </w:rPr>
        <w:t>法治是最好的营商环境。2024</w:t>
      </w:r>
      <w:r>
        <w:rPr>
          <w:rFonts w:ascii="Times New Roman"/>
          <w:color w:val="000000"/>
          <w:spacing w:val="0"/>
          <w:sz w:val="21"/>
        </w:rPr>
        <w:t xml:space="preserve"> </w:t>
      </w:r>
      <w:r>
        <w:rPr>
          <w:rFonts w:ascii="楷体" w:hAnsi="楷体" w:cs="楷体"/>
          <w:color w:val="000000"/>
          <w:spacing w:val="0"/>
          <w:sz w:val="21"/>
        </w:rPr>
        <w:t>年，人民法院加强对违规异地执法、趋利性执法案件的审查，</w:t>
      </w:r>
    </w:p>
    <w:p w14:paraId="16642A9D">
      <w:pPr>
        <w:spacing w:before="6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38B17B06">
      <w:pPr>
        <w:spacing w:before="0" w:after="0" w:line="0" w:lineRule="atLeast"/>
        <w:ind w:left="0" w:right="0" w:firstLine="0"/>
        <w:jc w:val="left"/>
        <w:rPr>
          <w:rFonts w:ascii="Arial"/>
          <w:color w:val="FF0000"/>
          <w:spacing w:val="0"/>
          <w:sz w:val="2"/>
        </w:rPr>
      </w:pPr>
    </w:p>
    <w:p w14:paraId="15E259F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E1C462D">
      <w:pPr>
        <w:spacing w:before="0" w:after="0" w:line="220" w:lineRule="exact"/>
        <w:ind w:left="0" w:right="0" w:firstLine="0"/>
        <w:jc w:val="left"/>
        <w:rPr>
          <w:rFonts w:ascii="Times New Roman"/>
          <w:color w:val="000000"/>
          <w:spacing w:val="0"/>
          <w:sz w:val="21"/>
        </w:rPr>
      </w:pPr>
      <w:bookmarkStart w:id="5" w:name="br6"/>
      <w:bookmarkEnd w:id="5"/>
      <w:r>
        <w:pict>
          <v:shape id="_x0000_s1059" o:spid="_x0000_s1059" o:spt="75" type="#_x0000_t75" style="position:absolute;left:0pt;margin-left:404.15pt;margin-top:72.55pt;height:2.75pt;width:2.75pt;mso-position-horizontal-relative:page;mso-position-vertical-relative:page;z-index:-251651072;mso-width-relative:page;mso-height-relative:page;" filled="f" o:preferrelative="t" stroked="f" coordsize="21600,21600">
            <v:path/>
            <v:fill on="f" focussize="0,0"/>
            <v:stroke on="f" joinstyle="miter"/>
            <v:imagedata r:id="rId11" o:title=""/>
            <o:lock v:ext="edit" aspectratio="t"/>
          </v:shape>
        </w:pict>
      </w:r>
      <w:r>
        <w:pict>
          <v:shape id="_x0000_s1060" o:spid="_x0000_s1060" o:spt="75" type="#_x0000_t75" style="position:absolute;left:0pt;margin-left:212.1pt;margin-top:473.3pt;height:5.75pt;width:5pt;mso-position-horizontal-relative:page;mso-position-vertical-relative:page;z-index:-251652096;mso-width-relative:page;mso-height-relative:page;" filled="f" o:preferrelative="t" stroked="f" coordsize="21600,21600">
            <v:path/>
            <v:fill on="f" focussize="0,0"/>
            <v:stroke on="f" joinstyle="miter"/>
            <v:imagedata r:id="rId12" o:title=""/>
            <o:lock v:ext="edit" aspectratio="t"/>
          </v:shape>
        </w:pict>
      </w:r>
      <w:r>
        <w:pict>
          <v:shape id="_x0000_s1061" o:spid="_x0000_s1061" o:spt="75" type="#_x0000_t75" style="position:absolute;left:0pt;margin-left:116.8pt;margin-top:769.7pt;height:2.75pt;width:2.75pt;mso-position-horizontal-relative:page;mso-position-vertical-relative:page;z-index:-251653120;mso-width-relative:page;mso-height-relative:page;" filled="f" o:preferrelative="t" stroked="f" coordsize="21600,21600">
            <v:path/>
            <v:fill on="f" focussize="0,0"/>
            <v:stroke on="f" joinstyle="miter"/>
            <v:imagedata r:id="rId16" o:title=""/>
            <o:lock v:ext="edit" aspectratio="t"/>
          </v:shape>
        </w:pict>
      </w:r>
      <w:r>
        <w:rPr>
          <w:rFonts w:ascii="楷体" w:hAnsi="楷体" w:cs="楷体"/>
          <w:color w:val="000000"/>
          <w:spacing w:val="0"/>
          <w:sz w:val="21"/>
        </w:rPr>
        <w:t>依法再审纠正涉产权案件</w:t>
      </w:r>
      <w:r>
        <w:rPr>
          <w:rFonts w:ascii="Times New Roman"/>
          <w:color w:val="000000"/>
          <w:spacing w:val="-2"/>
          <w:sz w:val="21"/>
        </w:rPr>
        <w:t xml:space="preserve"> </w:t>
      </w:r>
      <w:r>
        <w:rPr>
          <w:rFonts w:ascii="楷体"/>
          <w:color w:val="000000"/>
          <w:spacing w:val="0"/>
          <w:sz w:val="21"/>
        </w:rPr>
        <w:t>46</w:t>
      </w:r>
      <w:r>
        <w:rPr>
          <w:rFonts w:ascii="Times New Roman"/>
          <w:color w:val="000000"/>
          <w:spacing w:val="-2"/>
          <w:sz w:val="21"/>
        </w:rPr>
        <w:t xml:space="preserve"> </w:t>
      </w:r>
      <w:r>
        <w:rPr>
          <w:rFonts w:ascii="楷体" w:hAnsi="楷体" w:cs="楷体"/>
          <w:color w:val="000000"/>
          <w:spacing w:val="0"/>
          <w:sz w:val="21"/>
        </w:rPr>
        <w:t>件；重庆法院落实“知假买假”司法解释，对某职业索赔人购买地理标志产品，</w:t>
      </w:r>
    </w:p>
    <w:p w14:paraId="4AAEF24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以不符合食品检测标准为由提起索赔一案作出判决，判令经营者退还货款并按正常食用消费额支付</w:t>
      </w:r>
      <w:r>
        <w:rPr>
          <w:rFonts w:ascii="Times New Roman"/>
          <w:color w:val="000000"/>
          <w:spacing w:val="-3"/>
          <w:sz w:val="21"/>
        </w:rPr>
        <w:t xml:space="preserve"> </w:t>
      </w:r>
      <w:r>
        <w:rPr>
          <w:rFonts w:ascii="楷体"/>
          <w:color w:val="000000"/>
          <w:spacing w:val="0"/>
          <w:sz w:val="21"/>
        </w:rPr>
        <w:t>10</w:t>
      </w:r>
      <w:r>
        <w:rPr>
          <w:rFonts w:ascii="Times New Roman"/>
          <w:color w:val="000000"/>
          <w:spacing w:val="-3"/>
          <w:sz w:val="21"/>
        </w:rPr>
        <w:t xml:space="preserve"> </w:t>
      </w:r>
      <w:r>
        <w:rPr>
          <w:rFonts w:ascii="楷体" w:hAnsi="楷体" w:cs="楷体"/>
          <w:color w:val="000000"/>
          <w:spacing w:val="0"/>
          <w:sz w:val="21"/>
        </w:rPr>
        <w:t>倍赔</w:t>
      </w:r>
    </w:p>
    <w:p w14:paraId="2E1AC7C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偿金；广东东莞法院会同金融机构分析涉诉中小科创企业守法经营与资信情况，助力</w:t>
      </w:r>
      <w:r>
        <w:rPr>
          <w:rFonts w:ascii="Times New Roman"/>
          <w:color w:val="000000"/>
          <w:spacing w:val="0"/>
          <w:sz w:val="21"/>
        </w:rPr>
        <w:t xml:space="preserve"> </w:t>
      </w:r>
      <w:r>
        <w:rPr>
          <w:rFonts w:ascii="楷体"/>
          <w:color w:val="000000"/>
          <w:spacing w:val="0"/>
          <w:sz w:val="21"/>
        </w:rPr>
        <w:t>17</w:t>
      </w:r>
      <w:r>
        <w:rPr>
          <w:rFonts w:ascii="Times New Roman"/>
          <w:color w:val="000000"/>
          <w:spacing w:val="0"/>
          <w:sz w:val="21"/>
        </w:rPr>
        <w:t xml:space="preserve"> </w:t>
      </w:r>
      <w:r>
        <w:rPr>
          <w:rFonts w:ascii="楷体" w:hAnsi="楷体" w:cs="楷体"/>
          <w:color w:val="000000"/>
          <w:spacing w:val="0"/>
          <w:sz w:val="21"/>
        </w:rPr>
        <w:t>家企业成功申报</w:t>
      </w:r>
    </w:p>
    <w:p w14:paraId="7E0CDA5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“科技成果转化贷”；天津、吉林等地法院与行政机关开展常态化会商，通报重点领域执法司法情况，助</w:t>
      </w:r>
    </w:p>
    <w:p w14:paraId="1ED324D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力提升依法行政水平。</w:t>
      </w:r>
    </w:p>
    <w:p w14:paraId="1448BEA9">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0"/>
          <w:sz w:val="21"/>
        </w:rPr>
        <w:t>某网络科技公司（下称甲公司）成功研发了一款计算机软件，某计算机公司（下称</w:t>
      </w:r>
      <w:r>
        <w:rPr>
          <w:rFonts w:ascii="Times New Roman"/>
          <w:color w:val="000000"/>
          <w:spacing w:val="53"/>
          <w:sz w:val="21"/>
        </w:rPr>
        <w:t xml:space="preserve"> </w:t>
      </w:r>
      <w:r>
        <w:rPr>
          <w:rFonts w:ascii="楷体" w:hAnsi="楷体" w:cs="楷体"/>
          <w:color w:val="000000"/>
          <w:spacing w:val="0"/>
          <w:sz w:val="21"/>
        </w:rPr>
        <w:t>乙公司）</w:t>
      </w:r>
    </w:p>
    <w:p w14:paraId="3D8C867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请求甲公司许可使用该软件。在双方达成许可使用协议前，乙公司为提升计算机性能，将该软件安装在自</w:t>
      </w:r>
    </w:p>
    <w:p w14:paraId="3012591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己生产的计算机中，且未标明作者和软件来源。甲公司知悉后要求乙公司立即停止侵权，乙公司认为自己</w:t>
      </w:r>
    </w:p>
    <w:p w14:paraId="0554A52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安装该软件属于作品的合理使用，不构成侵权。甲公司遂诉至法院。</w:t>
      </w:r>
    </w:p>
    <w:p w14:paraId="5C262E1A">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）结合材料一，运用《政治与法治》知识，分析人民法院在服务法治化营商环境建设方面所发挥的作用。</w:t>
      </w:r>
    </w:p>
    <w:p w14:paraId="75976BA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）结合材料二，运用《法律与生活》知识，回答乙公司的观点是否符合法律规定，</w:t>
      </w:r>
      <w:r>
        <w:rPr>
          <w:rFonts w:ascii="Times New Roman"/>
          <w:color w:val="000000"/>
          <w:spacing w:val="53"/>
          <w:sz w:val="21"/>
        </w:rPr>
        <w:t xml:space="preserve"> </w:t>
      </w:r>
      <w:r>
        <w:rPr>
          <w:rFonts w:ascii="宋体" w:hAnsi="宋体" w:cs="宋体"/>
          <w:color w:val="000000"/>
          <w:spacing w:val="0"/>
          <w:sz w:val="21"/>
        </w:rPr>
        <w:t>并说明理由。</w:t>
      </w:r>
    </w:p>
    <w:p w14:paraId="5B0694B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阅读材料，完成下列要求。</w:t>
      </w:r>
    </w:p>
    <w:p w14:paraId="3DD3855C">
      <w:pPr>
        <w:spacing w:before="237" w:after="0" w:line="220" w:lineRule="exact"/>
        <w:ind w:left="420" w:right="0" w:firstLine="0"/>
        <w:jc w:val="left"/>
        <w:rPr>
          <w:rFonts w:ascii="Times New Roman"/>
          <w:color w:val="000000"/>
          <w:spacing w:val="0"/>
          <w:sz w:val="21"/>
        </w:rPr>
      </w:pPr>
      <w:r>
        <w:rPr>
          <w:rFonts w:ascii="楷体"/>
          <w:color w:val="000000"/>
          <w:spacing w:val="0"/>
          <w:sz w:val="21"/>
        </w:rPr>
        <w:t>2025</w:t>
      </w:r>
      <w:r>
        <w:rPr>
          <w:rFonts w:ascii="Times New Roman"/>
          <w:color w:val="000000"/>
          <w:spacing w:val="-5"/>
          <w:sz w:val="21"/>
        </w:rPr>
        <w:t xml:space="preserve"> </w:t>
      </w:r>
      <w:r>
        <w:rPr>
          <w:rFonts w:ascii="楷体" w:hAnsi="楷体" w:cs="楷体"/>
          <w:color w:val="000000"/>
          <w:spacing w:val="0"/>
          <w:sz w:val="21"/>
        </w:rPr>
        <w:t>年</w:t>
      </w:r>
      <w:r>
        <w:rPr>
          <w:rFonts w:ascii="Times New Roman"/>
          <w:color w:val="000000"/>
          <w:spacing w:val="-5"/>
          <w:sz w:val="21"/>
        </w:rPr>
        <w:t xml:space="preserve"> </w:t>
      </w:r>
      <w:r>
        <w:rPr>
          <w:rFonts w:ascii="楷体"/>
          <w:color w:val="000000"/>
          <w:spacing w:val="0"/>
          <w:sz w:val="21"/>
        </w:rPr>
        <w:t>1</w:t>
      </w:r>
      <w:r>
        <w:rPr>
          <w:rFonts w:ascii="Times New Roman"/>
          <w:color w:val="000000"/>
          <w:spacing w:val="-5"/>
          <w:sz w:val="21"/>
        </w:rPr>
        <w:t xml:space="preserve"> </w:t>
      </w:r>
      <w:r>
        <w:rPr>
          <w:rFonts w:ascii="楷体" w:hAnsi="楷体" w:cs="楷体"/>
          <w:color w:val="000000"/>
          <w:spacing w:val="-4"/>
          <w:sz w:val="21"/>
        </w:rPr>
        <w:t>月，《中共中央国务院关于深化养老服务改革发展的意见》发布，强调要加快健全养老服务网</w:t>
      </w:r>
    </w:p>
    <w:p w14:paraId="2EE31C3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络，优化居家为基础、社区为依托、机构为专业支撑、医养相结合的养老服务供给格局。</w:t>
      </w:r>
    </w:p>
    <w:p w14:paraId="12994CAE">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广东某地政府试行推出</w:t>
      </w:r>
      <w:r>
        <w:rPr>
          <w:rFonts w:ascii="宋体" w:hAnsi="宋体" w:cs="宋体"/>
          <w:color w:val="000000"/>
          <w:spacing w:val="0"/>
          <w:sz w:val="21"/>
        </w:rPr>
        <w:t>“</w:t>
      </w:r>
      <w:r>
        <w:rPr>
          <w:rFonts w:ascii="楷体" w:hAnsi="楷体" w:cs="楷体"/>
          <w:color w:val="000000"/>
          <w:spacing w:val="0"/>
          <w:sz w:val="21"/>
        </w:rPr>
        <w:t>智慧养老服务平台</w:t>
      </w:r>
      <w:r>
        <w:rPr>
          <w:rFonts w:ascii="宋体" w:hAnsi="宋体" w:cs="宋体"/>
          <w:color w:val="000000"/>
          <w:spacing w:val="0"/>
          <w:sz w:val="21"/>
        </w:rPr>
        <w:t>”，</w:t>
      </w:r>
      <w:r>
        <w:rPr>
          <w:rFonts w:ascii="楷体" w:hAnsi="楷体" w:cs="楷体"/>
          <w:color w:val="000000"/>
          <w:spacing w:val="0"/>
          <w:sz w:val="21"/>
        </w:rPr>
        <w:t>银行联合居委会向社区老人发放数字人民币预付卡。</w:t>
      </w:r>
    </w:p>
    <w:p w14:paraId="2253F62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老人通过平台线上预订家政、理疗、陪护等上门服务；费用结</w:t>
      </w:r>
      <w:r>
        <w:rPr>
          <w:rFonts w:ascii="Times New Roman"/>
          <w:color w:val="000000"/>
          <w:spacing w:val="53"/>
          <w:sz w:val="21"/>
        </w:rPr>
        <w:t xml:space="preserve"> </w:t>
      </w:r>
      <w:r>
        <w:rPr>
          <w:rFonts w:ascii="楷体" w:hAnsi="楷体" w:cs="楷体"/>
          <w:color w:val="000000"/>
          <w:spacing w:val="0"/>
          <w:sz w:val="21"/>
        </w:rPr>
        <w:t>算时仅需扫码即可使用卡内资金，或核销政</w:t>
      </w:r>
    </w:p>
    <w:p w14:paraId="3441B50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府发放的居家养老消费券。该地进一步将数字人民币预付卡向超市医院等场所推广，引入社会力量对相关</w:t>
      </w:r>
    </w:p>
    <w:p w14:paraId="478F826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场所进行适老化改造，实现资金全程监管随时可退、一码通扫、多店通用。截至当前，该地数字人民币监</w:t>
      </w:r>
    </w:p>
    <w:p w14:paraId="13D4E54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管资金已初具规模，有力推动了居家社区养老服务提质扩容。</w:t>
      </w:r>
    </w:p>
    <w:p w14:paraId="79B1EB5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结合材料，运用《经济与社会》知识，说明该地政府推动居家社区养老服务提质扩容的策略。</w:t>
      </w:r>
    </w:p>
    <w:p w14:paraId="49C6928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阅读材料，完成下列要求。</w:t>
      </w:r>
    </w:p>
    <w:p w14:paraId="63EAF840">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月面建造是人类迈向深空的关键里程碑。随着我国探月工程的推进，在月球上建房，越来越成为举国</w:t>
      </w:r>
    </w:p>
    <w:p w14:paraId="07F7FB1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瞩目的攻关项目。</w:t>
      </w:r>
    </w:p>
    <w:p w14:paraId="63B5173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在实验工程蓝图设计中，月壤砖制造是重要目标。探月工程团队确立了</w:t>
      </w:r>
      <w:r>
        <w:rPr>
          <w:rFonts w:ascii="宋体" w:hAnsi="宋体" w:cs="宋体"/>
          <w:color w:val="000000"/>
          <w:spacing w:val="0"/>
          <w:sz w:val="21"/>
        </w:rPr>
        <w:t>“</w:t>
      </w:r>
      <w:r>
        <w:rPr>
          <w:rFonts w:ascii="楷体" w:hAnsi="楷体" w:cs="楷体"/>
          <w:color w:val="000000"/>
          <w:spacing w:val="0"/>
          <w:sz w:val="21"/>
        </w:rPr>
        <w:t>用月球的土，建月球的房</w:t>
      </w:r>
      <w:r>
        <w:rPr>
          <w:rFonts w:ascii="宋体" w:hAnsi="宋体" w:cs="宋体"/>
          <w:color w:val="000000"/>
          <w:spacing w:val="0"/>
          <w:sz w:val="21"/>
        </w:rPr>
        <w:t>”</w:t>
      </w:r>
    </w:p>
    <w:p w14:paraId="4DE2D68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的理念；针对月面环境，决定以模拟月壤为原材料，采用太阳能聚光熔融制砖技术，研发抗压强度高、热</w:t>
      </w:r>
    </w:p>
    <w:p w14:paraId="49D13E8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学性能好、抗辐射能力强的模拟月壤砖；选择了赓续数千年的传统榫卯工艺，并将其融入模拟月壤砖设计</w:t>
      </w:r>
    </w:p>
    <w:p w14:paraId="4A96C360">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（如图）：榫卯一转一折之际，蕴含一凸一凹之巧，其节点在相互咬合中形成</w:t>
      </w:r>
      <w:r>
        <w:rPr>
          <w:rFonts w:ascii="宋体" w:hAnsi="宋体" w:cs="宋体"/>
          <w:color w:val="000000"/>
          <w:spacing w:val="0"/>
          <w:sz w:val="21"/>
        </w:rPr>
        <w:t>“</w:t>
      </w:r>
      <w:r>
        <w:rPr>
          <w:rFonts w:ascii="楷体" w:hAnsi="楷体" w:cs="楷体"/>
          <w:color w:val="000000"/>
          <w:spacing w:val="0"/>
          <w:sz w:val="21"/>
        </w:rPr>
        <w:t>牢而不固</w:t>
      </w:r>
      <w:r>
        <w:rPr>
          <w:rFonts w:ascii="宋体" w:hAnsi="宋体" w:cs="宋体"/>
          <w:color w:val="000000"/>
          <w:spacing w:val="0"/>
          <w:sz w:val="21"/>
        </w:rPr>
        <w:t>”</w:t>
      </w:r>
      <w:r>
        <w:rPr>
          <w:rFonts w:ascii="楷体" w:hAnsi="楷体" w:cs="楷体"/>
          <w:color w:val="000000"/>
          <w:spacing w:val="-1"/>
          <w:sz w:val="21"/>
        </w:rPr>
        <w:t>的柔性结构，具</w:t>
      </w:r>
    </w:p>
    <w:p w14:paraId="1CF0D14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有极强抗震效果。从古代建筑到现代航天，榫卯工艺跨越数千年，焕发出新的生机。</w:t>
      </w:r>
    </w:p>
    <w:p w14:paraId="0369D905">
      <w:pPr>
        <w:spacing w:before="105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7451EF36">
      <w:pPr>
        <w:spacing w:before="0" w:after="0" w:line="0" w:lineRule="atLeast"/>
        <w:ind w:left="0" w:right="0" w:firstLine="0"/>
        <w:jc w:val="left"/>
        <w:rPr>
          <w:rFonts w:ascii="Arial"/>
          <w:color w:val="FF0000"/>
          <w:spacing w:val="0"/>
          <w:sz w:val="2"/>
        </w:rPr>
      </w:pPr>
    </w:p>
    <w:p w14:paraId="3BF77F3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0C5AA3F">
      <w:pPr>
        <w:pStyle w:val="6"/>
        <w:sectPr>
          <w:pgSz w:w="11900" w:h="16840"/>
          <w:pgMar w:top="1452" w:right="100" w:bottom="0" w:left="1080" w:header="720" w:footer="720" w:gutter="0"/>
          <w:pgNumType w:start="1"/>
          <w:cols w:space="720" w:num="1"/>
          <w:docGrid w:linePitch="1" w:charSpace="0"/>
        </w:sectPr>
      </w:pPr>
    </w:p>
    <w:p w14:paraId="2E1605FE">
      <w:pPr>
        <w:spacing w:before="0" w:after="0" w:line="0" w:lineRule="atLeast"/>
        <w:ind w:left="0" w:right="0" w:firstLine="0"/>
        <w:jc w:val="left"/>
        <w:rPr>
          <w:rFonts w:ascii="Arial"/>
          <w:color w:val="FF0000"/>
          <w:spacing w:val="0"/>
          <w:sz w:val="2"/>
        </w:rPr>
      </w:pPr>
      <w:bookmarkStart w:id="7" w:name="_GoBack"/>
      <w:bookmarkEnd w:id="7"/>
    </w:p>
    <w:p w14:paraId="128E672F">
      <w:pPr>
        <w:spacing w:before="0" w:after="0" w:line="220" w:lineRule="exact"/>
        <w:ind w:left="420" w:right="0" w:firstLine="0"/>
        <w:jc w:val="left"/>
        <w:rPr>
          <w:rFonts w:ascii="Times New Roman"/>
          <w:color w:val="000000"/>
          <w:spacing w:val="0"/>
          <w:sz w:val="21"/>
        </w:rPr>
      </w:pPr>
      <w:bookmarkStart w:id="6" w:name="br7"/>
      <w:bookmarkEnd w:id="6"/>
      <w:r>
        <w:pict>
          <v:shape id="_x0000_s1064" o:spid="_x0000_s1064" o:spt="75" type="#_x0000_t75" style="position:absolute;left:0pt;margin-left:404.15pt;margin-top:72.55pt;height:2.75pt;width:2.75pt;mso-position-horizontal-relative:page;mso-position-vertical-relative:page;z-index:-251654144;mso-width-relative:page;mso-height-relative:page;" filled="f" o:preferrelative="t" stroked="f" coordsize="21600,21600">
            <v:path/>
            <v:fill on="f" focussize="0,0"/>
            <v:stroke on="f" joinstyle="miter"/>
            <v:imagedata r:id="rId11" o:title=""/>
            <o:lock v:ext="edit" aspectratio="t"/>
          </v:shape>
        </w:pict>
      </w:r>
      <w:r>
        <w:pict>
          <v:shape id="_x0000_s1065" o:spid="_x0000_s1065" o:spt="75" type="#_x0000_t75" style="position:absolute;left:0pt;margin-left:212.1pt;margin-top:473.3pt;height:5.75pt;width:5pt;mso-position-horizontal-relative:page;mso-position-vertical-relative:page;z-index:-251655168;mso-width-relative:page;mso-height-relative:page;" filled="f" o:preferrelative="t" stroked="f" coordsize="21600,21600">
            <v:path/>
            <v:fill on="f" focussize="0,0"/>
            <v:stroke on="f" joinstyle="miter"/>
            <v:imagedata r:id="rId12" o:title=""/>
            <o:lock v:ext="edit" aspectratio="t"/>
          </v:shape>
        </w:pict>
      </w:r>
      <w:r>
        <w:pict>
          <v:shape id="_x0000_s1066" o:spid="_x0000_s1066"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8" o:title=""/>
            <o:lock v:ext="edit" aspectratio="t"/>
          </v:shape>
        </w:pict>
      </w:r>
      <w:r>
        <w:pict>
          <v:shape id="_x0000_s1067" o:spid="_x0000_s1067" o:spt="75" type="#_x0000_t75" style="position:absolute;left:0pt;margin-left:53pt;margin-top:72.55pt;height:174.6pt;width:294.6pt;mso-position-horizontal-relative:page;mso-position-vertical-relative:page;z-index:-251657216;mso-width-relative:page;mso-height-relative:page;" filled="f" o:preferrelative="t" stroked="f" coordsize="21600,21600">
            <v:path/>
            <v:fill on="f" focussize="0,0"/>
            <v:stroke on="f" joinstyle="miter"/>
            <v:imagedata r:id="rId21" o:title=""/>
            <o:lock v:ext="edit" aspectratio="t"/>
          </v:shape>
        </w:pict>
      </w:r>
      <w:r>
        <w:rPr>
          <w:rFonts w:ascii="楷体" w:hAnsi="楷体" w:cs="楷体"/>
          <w:color w:val="000000"/>
          <w:spacing w:val="0"/>
          <w:sz w:val="21"/>
        </w:rPr>
        <w:t>当前，融传统榫卯工艺与现代智能制造技术于一体的模拟月壤砖，已通过天舟八号货运飞船成功送往</w:t>
      </w:r>
    </w:p>
    <w:p w14:paraId="4AAF311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中国空间站开展舱外暴露试验，若能获得理想数据，将为实现机器人月面建房目标迈出关键一步。据悉，</w:t>
      </w:r>
    </w:p>
    <w:p w14:paraId="1934B4C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随着攻关蓝图的展开，探月工程团队将不断优化选择创新元素，系统周密地作出方向性判断和选择。</w:t>
      </w:r>
    </w:p>
    <w:p w14:paraId="626723B8">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）结合材料，运用价值判断与价值选择的知识，对探月工程团队围绕“月壤砖”制造的工程蓝图设计进</w:t>
      </w:r>
    </w:p>
    <w:p w14:paraId="2771201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行阐释。</w:t>
      </w:r>
    </w:p>
    <w:p w14:paraId="3D0C40F8">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）结合材料，运用文化的相关知识，解释榫卯工艺“跨越数千年，焕发出新的生机”的原因。</w:t>
      </w:r>
    </w:p>
    <w:p w14:paraId="7234EAB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）结合材料，从创新思维的角度分析模拟月壤砖实验“新”在何处。</w:t>
      </w:r>
    </w:p>
    <w:p w14:paraId="3E979BE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阅读材料，完成下列要求。</w:t>
      </w:r>
    </w:p>
    <w:p w14:paraId="37A11068">
      <w:pPr>
        <w:spacing w:before="237" w:after="0" w:line="220" w:lineRule="exact"/>
        <w:ind w:left="420" w:right="0" w:firstLine="0"/>
        <w:jc w:val="left"/>
        <w:rPr>
          <w:rFonts w:ascii="Times New Roman"/>
          <w:color w:val="000000"/>
          <w:spacing w:val="0"/>
          <w:sz w:val="21"/>
        </w:rPr>
      </w:pPr>
      <w:r>
        <w:rPr>
          <w:rFonts w:ascii="楷体"/>
          <w:color w:val="000000"/>
          <w:spacing w:val="0"/>
          <w:sz w:val="21"/>
        </w:rPr>
        <w:t>2023</w:t>
      </w:r>
      <w:r>
        <w:rPr>
          <w:rFonts w:ascii="Times New Roman"/>
          <w:color w:val="000000"/>
          <w:spacing w:val="-2"/>
          <w:sz w:val="21"/>
        </w:rPr>
        <w:t xml:space="preserve"> </w:t>
      </w:r>
      <w:r>
        <w:rPr>
          <w:rFonts w:ascii="楷体" w:hAnsi="楷体" w:cs="楷体"/>
          <w:color w:val="000000"/>
          <w:spacing w:val="0"/>
          <w:sz w:val="21"/>
        </w:rPr>
        <w:t>年</w:t>
      </w:r>
      <w:r>
        <w:rPr>
          <w:rFonts w:ascii="Times New Roman"/>
          <w:color w:val="000000"/>
          <w:spacing w:val="-2"/>
          <w:sz w:val="21"/>
        </w:rPr>
        <w:t xml:space="preserve"> </w:t>
      </w:r>
      <w:r>
        <w:rPr>
          <w:rFonts w:ascii="楷体"/>
          <w:color w:val="000000"/>
          <w:spacing w:val="0"/>
          <w:sz w:val="21"/>
        </w:rPr>
        <w:t>3</w:t>
      </w:r>
      <w:r>
        <w:rPr>
          <w:rFonts w:ascii="Times New Roman"/>
          <w:color w:val="000000"/>
          <w:spacing w:val="-2"/>
          <w:sz w:val="21"/>
        </w:rPr>
        <w:t xml:space="preserve"> </w:t>
      </w:r>
      <w:r>
        <w:rPr>
          <w:rFonts w:ascii="楷体" w:hAnsi="楷体" w:cs="楷体"/>
          <w:color w:val="000000"/>
          <w:spacing w:val="0"/>
          <w:sz w:val="21"/>
        </w:rPr>
        <w:t>月，习近平主席同来访的马来西亚总理安瓦尔就构建中马命运共同体达成重要共识。2025</w:t>
      </w:r>
      <w:r>
        <w:rPr>
          <w:rFonts w:ascii="Times New Roman"/>
          <w:color w:val="000000"/>
          <w:spacing w:val="-1"/>
          <w:sz w:val="21"/>
        </w:rPr>
        <w:t xml:space="preserve"> </w:t>
      </w:r>
      <w:r>
        <w:rPr>
          <w:rFonts w:ascii="楷体" w:hAnsi="楷体" w:cs="楷体"/>
          <w:color w:val="000000"/>
          <w:spacing w:val="0"/>
          <w:sz w:val="21"/>
        </w:rPr>
        <w:t>年</w:t>
      </w:r>
    </w:p>
    <w:p w14:paraId="6E6C4447">
      <w:pPr>
        <w:spacing w:before="248" w:after="0" w:line="220" w:lineRule="exact"/>
        <w:ind w:left="0" w:right="0" w:firstLine="0"/>
        <w:jc w:val="left"/>
        <w:rPr>
          <w:rFonts w:ascii="Times New Roman"/>
          <w:color w:val="000000"/>
          <w:spacing w:val="0"/>
          <w:sz w:val="21"/>
        </w:rPr>
      </w:pPr>
      <w:r>
        <w:rPr>
          <w:rFonts w:ascii="楷体"/>
          <w:color w:val="000000"/>
          <w:spacing w:val="0"/>
          <w:sz w:val="21"/>
        </w:rPr>
        <w:t>4</w:t>
      </w:r>
      <w:r>
        <w:rPr>
          <w:rFonts w:ascii="Times New Roman"/>
          <w:color w:val="000000"/>
          <w:spacing w:val="0"/>
          <w:sz w:val="21"/>
        </w:rPr>
        <w:t xml:space="preserve"> </w:t>
      </w:r>
      <w:r>
        <w:rPr>
          <w:rFonts w:ascii="楷体" w:hAnsi="楷体" w:cs="楷体"/>
          <w:color w:val="000000"/>
          <w:spacing w:val="0"/>
          <w:sz w:val="21"/>
        </w:rPr>
        <w:t>月，习近平主席对马来西亚进行国事访问，双方一致同意构建高水平战略性中马命运共同体。</w:t>
      </w:r>
    </w:p>
    <w:p w14:paraId="28056605">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中国连续</w:t>
      </w:r>
      <w:r>
        <w:rPr>
          <w:rFonts w:ascii="Times New Roman"/>
          <w:color w:val="000000"/>
          <w:spacing w:val="-2"/>
          <w:sz w:val="21"/>
        </w:rPr>
        <w:t xml:space="preserve"> </w:t>
      </w:r>
      <w:r>
        <w:rPr>
          <w:rFonts w:ascii="楷体"/>
          <w:color w:val="000000"/>
          <w:spacing w:val="0"/>
          <w:sz w:val="21"/>
        </w:rPr>
        <w:t>16</w:t>
      </w:r>
      <w:r>
        <w:rPr>
          <w:rFonts w:ascii="Times New Roman"/>
          <w:color w:val="000000"/>
          <w:spacing w:val="-2"/>
          <w:sz w:val="21"/>
        </w:rPr>
        <w:t xml:space="preserve"> </w:t>
      </w:r>
      <w:r>
        <w:rPr>
          <w:rFonts w:ascii="楷体" w:hAnsi="楷体" w:cs="楷体"/>
          <w:color w:val="000000"/>
          <w:spacing w:val="0"/>
          <w:sz w:val="21"/>
        </w:rPr>
        <w:t>年保持马来西亚最大贸易伙伴地位，连续多年是马来西亚主要投资来源国。马来西亚是中</w:t>
      </w:r>
    </w:p>
    <w:p w14:paraId="3754D1E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国在东盟第二大贸易伙伴和第一大进口来源国，马方的鲜食榴莲等特色产品深受中国老百姓喜爱，马方寄</w:t>
      </w:r>
    </w:p>
    <w:p w14:paraId="3B51E10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予厚望的共建“一带一路”旗舰项目“东海岸铁路工程”正加紧推进建设。</w:t>
      </w:r>
    </w:p>
    <w:p w14:paraId="0EC401ED">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中马两国将以签署互免签证协定为契机，深化旅游、文化、教育等领域合作，进一步夯实中马关系新</w:t>
      </w:r>
    </w:p>
    <w:p w14:paraId="4F1B39D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的“黄金</w:t>
      </w:r>
      <w:r>
        <w:rPr>
          <w:rFonts w:ascii="Times New Roman"/>
          <w:color w:val="000000"/>
          <w:spacing w:val="0"/>
          <w:sz w:val="21"/>
        </w:rPr>
        <w:t xml:space="preserve"> </w:t>
      </w:r>
      <w:r>
        <w:rPr>
          <w:rFonts w:ascii="楷体"/>
          <w:color w:val="000000"/>
          <w:spacing w:val="0"/>
          <w:sz w:val="21"/>
        </w:rPr>
        <w:t>50</w:t>
      </w:r>
      <w:r>
        <w:rPr>
          <w:rFonts w:ascii="Times New Roman"/>
          <w:color w:val="000000"/>
          <w:spacing w:val="0"/>
          <w:sz w:val="21"/>
        </w:rPr>
        <w:t xml:space="preserve"> </w:t>
      </w:r>
      <w:r>
        <w:rPr>
          <w:rFonts w:ascii="楷体" w:hAnsi="楷体" w:cs="楷体"/>
          <w:color w:val="000000"/>
          <w:spacing w:val="0"/>
          <w:sz w:val="21"/>
        </w:rPr>
        <w:t>年”民意基础。</w:t>
      </w:r>
    </w:p>
    <w:p w14:paraId="319C091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结合材料，运用《当代国际政治与经济》知识，探究当今世界国与国正确相处之道。</w:t>
      </w:r>
    </w:p>
    <w:p w14:paraId="06F628C4">
      <w:pPr>
        <w:spacing w:before="292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sectPr>
      <w:pgSz w:w="11900" w:h="16840"/>
      <w:pgMar w:top="5198"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8C6B25A9-22C4-4BBB-B97C-4FD27CC13AAD}"/>
  </w:font>
  <w:font w:name="宋体">
    <w:panose1 w:val="02010600030101010101"/>
    <w:charset w:val="86"/>
    <w:family w:val="auto"/>
    <w:pitch w:val="default"/>
    <w:sig w:usb0="00000003" w:usb1="288F0000" w:usb2="00000006" w:usb3="00000000" w:csb0="00040001" w:csb1="00000000"/>
    <w:embedRegular r:id="rId2" w:fontKey="{84D16BD2-C16F-4C9F-82A3-E943FEE4F0C5}"/>
  </w:font>
  <w:font w:name="Wingdings">
    <w:panose1 w:val="05000000000000000000"/>
    <w:charset w:val="02"/>
    <w:family w:val="auto"/>
    <w:pitch w:val="default"/>
    <w:sig w:usb0="00000000" w:usb1="00000000" w:usb2="00000000" w:usb3="00000000" w:csb0="80000000" w:csb1="00000000"/>
    <w:embedRegular r:id="rId3" w:fontKey="{2711815E-3270-44D3-B04B-B8CBB63FF49C}"/>
  </w:font>
  <w:font w:name="Arial">
    <w:panose1 w:val="020B0604020202020204"/>
    <w:charset w:val="01"/>
    <w:family w:val="swiss"/>
    <w:pitch w:val="default"/>
    <w:sig w:usb0="E0002AFF" w:usb1="C0007843" w:usb2="00000009" w:usb3="00000000" w:csb0="400001FF" w:csb1="FFFF0000"/>
    <w:embedRegular r:id="rId4" w:fontKey="{9F4B2129-C4AA-4DC2-8EA7-51F37BE36AED}"/>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A0DC06A6-AF1E-4FF1-969C-B117D7E9C10C}"/>
  </w:font>
  <w:font w:name="Symbol">
    <w:panose1 w:val="05050102010706020507"/>
    <w:charset w:val="02"/>
    <w:family w:val="roman"/>
    <w:pitch w:val="default"/>
    <w:sig w:usb0="00000000" w:usb1="00000000" w:usb2="00000000" w:usb3="00000000" w:csb0="80000000" w:csb1="00000000"/>
    <w:embedRegular r:id="rId6" w:fontKey="{DA8290D5-1CD7-4095-B8E8-2FD7D2D337A6}"/>
  </w:font>
  <w:font w:name="Calibri">
    <w:panose1 w:val="020F0502020204030204"/>
    <w:charset w:val="00"/>
    <w:family w:val="swiss"/>
    <w:pitch w:val="default"/>
    <w:sig w:usb0="E00002FF" w:usb1="4000ACFF" w:usb2="00000001" w:usb3="00000000" w:csb0="2000019F" w:csb1="00000000"/>
    <w:embedRegular r:id="rId7" w:fontKey="{1A320B5A-61E7-4326-8DE8-06DA2E968AB9}"/>
  </w:font>
  <w:font w:name="楷体">
    <w:panose1 w:val="02010609060101010101"/>
    <w:charset w:val="86"/>
    <w:family w:val="auto"/>
    <w:pitch w:val="default"/>
    <w:sig w:usb0="800002BF" w:usb1="38CF7CFA" w:usb2="00000016" w:usb3="00000000" w:csb0="00040001" w:csb1="00000000"/>
    <w:embedRegular r:id="rId8" w:fontKey="{EEF44213-9E66-4B90-8238-7FDCE777727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D1CC00">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B58DF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B9507">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0391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A8BA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A44D9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359769A"/>
    <w:rsid w:val="464B02FC"/>
    <w:rsid w:val="56516FFC"/>
    <w:rsid w:val="7BB90F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4"/>
    <customShpInfo spid="_x0000_s1035"/>
    <customShpInfo spid="_x0000_s1036"/>
    <customShpInfo spid="_x0000_s1039"/>
    <customShpInfo spid="_x0000_s1040"/>
    <customShpInfo spid="_x0000_s1041"/>
    <customShpInfo spid="_x0000_s1042"/>
    <customShpInfo spid="_x0000_s1043"/>
    <customShpInfo spid="_x0000_s1046"/>
    <customShpInfo spid="_x0000_s1047"/>
    <customShpInfo spid="_x0000_s1048"/>
    <customShpInfo spid="_x0000_s1049"/>
    <customShpInfo spid="_x0000_s1050"/>
    <customShpInfo spid="_x0000_s1053"/>
    <customShpInfo spid="_x0000_s1054"/>
    <customShpInfo spid="_x0000_s1055"/>
    <customShpInfo spid="_x0000_s1056"/>
    <customShpInfo spid="_x0000_s1059"/>
    <customShpInfo spid="_x0000_s1060"/>
    <customShpInfo spid="_x0000_s1061"/>
    <customShpInfo spid="_x0000_s1064"/>
    <customShpInfo spid="_x0000_s1065"/>
    <customShpInfo spid="_x0000_s1066"/>
    <customShpInfo spid="_x0000_s106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14</Pages>
  <Words>5352</Words>
  <Characters>5509</Characters>
  <Lines>0</Lines>
  <Paragraphs>190</Paragraphs>
  <TotalTime>7</TotalTime>
  <ScaleCrop>false</ScaleCrop>
  <LinksUpToDate>false</LinksUpToDate>
  <CharactersWithSpaces>5747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2025-06-25T12:17:00Z</dcterms:created>
  <dc:creator>Administrator</dc:creator>
  <cp:lastModifiedBy>上帝掷骰子吗</cp:lastModifiedBy>
  <dcterms:modified xsi:type="dcterms:W3CDTF">2026-02-10T06:56:25Z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057B96C3B15A496284452A3B4F57BB01_12</vt:lpwstr>
  </property>
</Properties>
</file>