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227C7A">
      <w:pPr>
        <w:spacing w:line="360" w:lineRule="auto"/>
        <w:jc w:val="center"/>
        <w:rPr>
          <w:rFonts w:hint="eastAsia" w:eastAsia="宋体"/>
          <w:lang w:eastAsia="zh-CN"/>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11277600</wp:posOffset>
            </wp:positionH>
            <wp:positionV relativeFrom="topMargin">
              <wp:posOffset>12687300</wp:posOffset>
            </wp:positionV>
            <wp:extent cx="381000" cy="4445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81000" cy="444500"/>
                    </a:xfrm>
                    <a:prstGeom prst="rect">
                      <a:avLst/>
                    </a:prstGeom>
                  </pic:spPr>
                </pic:pic>
              </a:graphicData>
            </a:graphic>
          </wp:anchor>
        </w:drawing>
      </w:r>
      <w:r>
        <w:rPr>
          <w:rFonts w:ascii="宋体" w:hAnsi="宋体" w:eastAsia="宋体" w:cs="宋体"/>
          <w:b/>
          <w:color w:val="auto"/>
          <w:sz w:val="32"/>
        </w:rPr>
        <w:t>2024年普通高等学校招生选择性考试</w:t>
      </w:r>
      <w:r>
        <w:rPr>
          <w:rFonts w:hint="eastAsia" w:ascii="宋体" w:hAnsi="宋体" w:cs="宋体"/>
          <w:b/>
          <w:color w:val="auto"/>
          <w:sz w:val="32"/>
          <w:lang w:eastAsia="zh-CN"/>
        </w:rPr>
        <w:t>（</w:t>
      </w:r>
      <w:r>
        <w:rPr>
          <w:rFonts w:hint="eastAsia" w:ascii="宋体" w:hAnsi="宋体" w:cs="宋体"/>
          <w:b/>
          <w:color w:val="auto"/>
          <w:sz w:val="32"/>
          <w:lang w:val="en-US" w:eastAsia="zh-CN"/>
        </w:rPr>
        <w:t>辽宁卷</w:t>
      </w:r>
      <w:r>
        <w:rPr>
          <w:rFonts w:hint="eastAsia" w:ascii="宋体" w:hAnsi="宋体" w:cs="宋体"/>
          <w:b/>
          <w:color w:val="auto"/>
          <w:sz w:val="32"/>
          <w:lang w:eastAsia="zh-CN"/>
        </w:rPr>
        <w:t>）</w:t>
      </w:r>
    </w:p>
    <w:p w14:paraId="2CC16605">
      <w:pPr>
        <w:spacing w:line="360" w:lineRule="auto"/>
        <w:jc w:val="center"/>
      </w:pPr>
      <w:r>
        <w:rPr>
          <w:rFonts w:ascii="宋体" w:hAnsi="宋体" w:eastAsia="宋体" w:cs="宋体"/>
          <w:b/>
          <w:color w:val="auto"/>
          <w:sz w:val="32"/>
        </w:rPr>
        <w:t>思想政治</w:t>
      </w:r>
    </w:p>
    <w:p w14:paraId="383B119E">
      <w:pPr>
        <w:spacing w:line="360" w:lineRule="auto"/>
        <w:jc w:val="left"/>
      </w:pPr>
      <w:r>
        <w:rPr>
          <w:rFonts w:ascii="宋体" w:hAnsi="宋体" w:eastAsia="宋体" w:cs="宋体"/>
          <w:b/>
          <w:color w:val="auto"/>
          <w:sz w:val="24"/>
        </w:rPr>
        <w:t>本试卷共8页。考试结束后，将本试卷和答题卡一并交回。</w:t>
      </w:r>
    </w:p>
    <w:p w14:paraId="763228C0">
      <w:pPr>
        <w:spacing w:line="360" w:lineRule="auto"/>
        <w:jc w:val="left"/>
      </w:pPr>
      <w:r>
        <w:rPr>
          <w:rFonts w:ascii="宋体" w:hAnsi="宋体" w:eastAsia="宋体" w:cs="宋体"/>
          <w:b/>
          <w:color w:val="auto"/>
          <w:sz w:val="24"/>
        </w:rPr>
        <w:t>注意事项：</w:t>
      </w:r>
    </w:p>
    <w:p w14:paraId="44E7EF0D">
      <w:pPr>
        <w:spacing w:line="360" w:lineRule="auto"/>
        <w:jc w:val="left"/>
      </w:pPr>
      <w:r>
        <w:rPr>
          <w:rFonts w:ascii="宋体" w:hAnsi="宋体" w:eastAsia="宋体" w:cs="宋体"/>
          <w:b/>
          <w:color w:val="auto"/>
          <w:sz w:val="24"/>
        </w:rPr>
        <w:t>1．答题前，考生先将自己的姓名、准考证号码填写清楚，将条形码准确粘贴在考生信息条形码粘贴区。</w:t>
      </w:r>
    </w:p>
    <w:p w14:paraId="3BEF2ACD">
      <w:pPr>
        <w:spacing w:line="360" w:lineRule="auto"/>
        <w:jc w:val="left"/>
      </w:pPr>
      <w:r>
        <w:rPr>
          <w:rFonts w:ascii="宋体" w:hAnsi="宋体" w:eastAsia="宋体" w:cs="宋体"/>
          <w:b/>
          <w:color w:val="auto"/>
          <w:sz w:val="24"/>
        </w:rPr>
        <w:t>2．选择题必须使用2B铅笔填涂；非选择题必须使用0.5毫米黑色字迹的签字笔书写，字体工整、笔迹清楚。</w:t>
      </w:r>
    </w:p>
    <w:p w14:paraId="0AE91704">
      <w:pPr>
        <w:spacing w:line="360" w:lineRule="auto"/>
        <w:jc w:val="left"/>
      </w:pPr>
      <w:r>
        <w:rPr>
          <w:rFonts w:ascii="宋体" w:hAnsi="宋体" w:eastAsia="宋体" w:cs="宋体"/>
          <w:b/>
          <w:color w:val="auto"/>
          <w:sz w:val="24"/>
        </w:rPr>
        <w:t>3．请按照题号顺序在答题卡各题目的答题区域内作答，超出答题区域书写的答案无效；在草稿纸、试卷上答题无效。</w:t>
      </w:r>
    </w:p>
    <w:p w14:paraId="54C67C62">
      <w:pPr>
        <w:spacing w:line="360" w:lineRule="auto"/>
        <w:jc w:val="left"/>
      </w:pPr>
      <w:r>
        <w:rPr>
          <w:rFonts w:ascii="宋体" w:hAnsi="宋体" w:eastAsia="宋体" w:cs="宋体"/>
          <w:b/>
          <w:color w:val="auto"/>
          <w:sz w:val="24"/>
        </w:rPr>
        <w:t>4．作图可先使用铅笔画出，确定后必须用黑色字迹的签字笔描黑。</w:t>
      </w:r>
    </w:p>
    <w:p w14:paraId="02EBD1E8">
      <w:pPr>
        <w:spacing w:line="360" w:lineRule="auto"/>
        <w:jc w:val="left"/>
      </w:pPr>
      <w:r>
        <w:rPr>
          <w:rFonts w:ascii="宋体" w:hAnsi="宋体" w:eastAsia="宋体" w:cs="宋体"/>
          <w:b/>
          <w:color w:val="auto"/>
          <w:sz w:val="24"/>
        </w:rPr>
        <w:t>5．保持卡面清洁，不要折叠，不要弄破、弄皱，不准使用涂改液、修正带、刮纸刀。</w:t>
      </w:r>
    </w:p>
    <w:p w14:paraId="4AB1165C">
      <w:pPr>
        <w:spacing w:line="360" w:lineRule="auto"/>
        <w:jc w:val="left"/>
      </w:pPr>
      <w:r>
        <w:rPr>
          <w:rFonts w:ascii="宋体" w:hAnsi="宋体" w:eastAsia="宋体" w:cs="宋体"/>
          <w:b/>
          <w:color w:val="auto"/>
          <w:sz w:val="24"/>
        </w:rPr>
        <w:t>一、选择题：本题共16小题，每小题3分，共48分。在每小题给出的四个选项中，只有一个是符合题目要求的。</w:t>
      </w:r>
    </w:p>
    <w:p w14:paraId="01D98C85">
      <w:pPr>
        <w:spacing w:line="360" w:lineRule="auto"/>
        <w:jc w:val="left"/>
      </w:pPr>
      <w:r>
        <w:rPr>
          <w:color w:val="auto"/>
        </w:rPr>
        <w:t xml:space="preserve">1. </w:t>
      </w:r>
      <w:r>
        <w:rPr>
          <w:rFonts w:ascii="宋体" w:hAnsi="宋体" w:eastAsia="宋体" w:cs="宋体"/>
          <w:color w:val="auto"/>
        </w:rPr>
        <w:t>下列对“两个必然”和“两个决不会”关系认识正确的是（   ）</w:t>
      </w:r>
    </w:p>
    <w:tbl>
      <w:tblPr>
        <w:tblStyle w:val="4"/>
        <w:tblW w:w="62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65"/>
        <w:gridCol w:w="3390"/>
      </w:tblGrid>
      <w:tr w14:paraId="098B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A38DDB">
            <w:pPr>
              <w:spacing w:line="360" w:lineRule="auto"/>
              <w:jc w:val="left"/>
            </w:pPr>
            <w:r>
              <w:rPr>
                <w:rFonts w:ascii="宋体" w:hAnsi="宋体" w:eastAsia="宋体" w:cs="宋体"/>
                <w:color w:val="auto"/>
              </w:rPr>
              <w:t>“两个必然”：</w:t>
            </w:r>
          </w:p>
          <w:p w14:paraId="16A77465">
            <w:pPr>
              <w:spacing w:line="360" w:lineRule="auto"/>
              <w:jc w:val="left"/>
            </w:pPr>
            <w:r>
              <w:rPr>
                <w:rFonts w:ascii="宋体" w:hAnsi="宋体" w:eastAsia="宋体" w:cs="宋体"/>
                <w:color w:val="auto"/>
              </w:rPr>
              <w:t>1848年，马克思、恩格斯在《共产党宣言》中指出：“资产阶级的灭亡和无产阶级的胜利是同样不可避免的。”这就是现在所说的资本主义必然灭亡和社会主义必然胜利的“两个必然”。</w:t>
            </w:r>
          </w:p>
        </w:tc>
        <w:tc>
          <w:tcPr>
            <w:tcW w:w="33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6AA645">
            <w:pPr>
              <w:spacing w:line="360" w:lineRule="auto"/>
              <w:jc w:val="left"/>
            </w:pPr>
            <w:r>
              <w:rPr>
                <w:rFonts w:ascii="宋体" w:hAnsi="宋体" w:eastAsia="宋体" w:cs="宋体"/>
                <w:color w:val="auto"/>
              </w:rPr>
              <w:t>“两个决不会”：</w:t>
            </w:r>
          </w:p>
          <w:p w14:paraId="6C138798">
            <w:pPr>
              <w:spacing w:line="360" w:lineRule="auto"/>
              <w:jc w:val="left"/>
            </w:pPr>
            <w:r>
              <w:rPr>
                <w:rFonts w:ascii="宋体" w:hAnsi="宋体" w:eastAsia="宋体" w:cs="宋体"/>
                <w:color w:val="auto"/>
              </w:rPr>
              <w:t>1859年，马克思在《&lt;政治经济学批判&gt;序言》中提出：“无论哪一个社会形态，在它所能容纳的全部生产力发挥出来以前，是决不会灭亡的；而新的更高的生产关系，在它的物质存在条件在旧社会的胎胞里成熟以前，是决不会出现的。”</w:t>
            </w:r>
          </w:p>
        </w:tc>
      </w:tr>
    </w:tbl>
    <w:p w14:paraId="618BDC97">
      <w:pPr>
        <w:spacing w:line="360" w:lineRule="auto"/>
        <w:jc w:val="left"/>
      </w:pPr>
      <w:r>
        <w:rPr>
          <w:rFonts w:ascii="宋体" w:hAnsi="宋体" w:eastAsia="宋体" w:cs="宋体"/>
          <w:color w:val="auto"/>
        </w:rPr>
        <w:t>①两者都依据社会基本矛盾运动规律阐释社会形态的更替问题</w:t>
      </w:r>
    </w:p>
    <w:p w14:paraId="7586C383">
      <w:pPr>
        <w:spacing w:line="360" w:lineRule="auto"/>
        <w:jc w:val="left"/>
      </w:pPr>
      <w:r>
        <w:rPr>
          <w:rFonts w:ascii="宋体" w:hAnsi="宋体" w:eastAsia="宋体" w:cs="宋体"/>
          <w:color w:val="auto"/>
        </w:rPr>
        <w:t>②两者都论证了社会主义终将代替资本主义，但过程是漫长的</w:t>
      </w:r>
    </w:p>
    <w:p w14:paraId="5EDA2F4D">
      <w:pPr>
        <w:spacing w:line="360" w:lineRule="auto"/>
        <w:jc w:val="left"/>
      </w:pPr>
      <w:r>
        <w:rPr>
          <w:rFonts w:ascii="宋体" w:hAnsi="宋体" w:eastAsia="宋体" w:cs="宋体"/>
          <w:color w:val="auto"/>
        </w:rPr>
        <w:t>③前者揭示社会形态更替的必然性，后者揭示其实现的条件性</w:t>
      </w:r>
    </w:p>
    <w:p w14:paraId="09929621">
      <w:pPr>
        <w:spacing w:line="360" w:lineRule="auto"/>
        <w:jc w:val="left"/>
      </w:pPr>
      <w:r>
        <w:rPr>
          <w:rFonts w:ascii="宋体" w:hAnsi="宋体" w:eastAsia="宋体" w:cs="宋体"/>
          <w:color w:val="auto"/>
        </w:rPr>
        <w:t>④前者反映资本主义社会的运行方式，后者反映社会形态更替的实现方式</w:t>
      </w:r>
    </w:p>
    <w:p w14:paraId="74385C34">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①③</w:t>
      </w:r>
      <w:r>
        <w:tab/>
      </w:r>
      <w:r>
        <w:t xml:space="preserve">B. </w:t>
      </w:r>
      <w:r>
        <w:rPr>
          <w:rFonts w:ascii="宋体" w:hAnsi="宋体" w:eastAsia="宋体" w:cs="宋体"/>
          <w:color w:val="auto"/>
        </w:rPr>
        <w:t>①④</w:t>
      </w:r>
      <w:r>
        <w:tab/>
      </w:r>
      <w:r>
        <w:t xml:space="preserve">C. </w:t>
      </w:r>
      <w:r>
        <w:rPr>
          <w:rFonts w:ascii="宋体" w:hAnsi="宋体" w:eastAsia="宋体" w:cs="宋体"/>
          <w:color w:val="auto"/>
        </w:rPr>
        <w:t>②③</w:t>
      </w:r>
      <w:r>
        <w:tab/>
      </w:r>
      <w:r>
        <w:t xml:space="preserve">D. </w:t>
      </w:r>
      <w:r>
        <w:rPr>
          <w:rFonts w:ascii="宋体" w:hAnsi="宋体" w:eastAsia="宋体" w:cs="宋体"/>
          <w:color w:val="auto"/>
        </w:rPr>
        <w:t>②④</w:t>
      </w:r>
    </w:p>
    <w:p w14:paraId="7FA0895A">
      <w:pPr>
        <w:spacing w:line="360" w:lineRule="auto"/>
        <w:jc w:val="left"/>
        <w:textAlignment w:val="center"/>
        <w:rPr>
          <w:color w:val="000000"/>
        </w:rPr>
      </w:pPr>
      <w:r>
        <w:rPr>
          <w:color w:val="000000"/>
        </w:rPr>
        <w:t xml:space="preserve">2. </w:t>
      </w:r>
      <w:r>
        <w:rPr>
          <w:rFonts w:ascii="宋体" w:hAnsi="宋体" w:eastAsia="宋体" w:cs="宋体"/>
          <w:color w:val="000000"/>
        </w:rPr>
        <w:t>习近平指出，新质生产力“由技术革命性突破、生产要素创新性配置、产业深度转型升级而催生，以劳动者、劳动资料、劳动对象及其优化组合的跃升为基本内涵……特点是创新，关键在质优，本质是先进生产力”，该理论的贡献在于（   ）</w:t>
      </w:r>
    </w:p>
    <w:p w14:paraId="30F02275">
      <w:pPr>
        <w:spacing w:line="360" w:lineRule="auto"/>
        <w:jc w:val="left"/>
        <w:textAlignment w:val="center"/>
        <w:rPr>
          <w:color w:val="000000"/>
        </w:rPr>
      </w:pPr>
      <w:r>
        <w:rPr>
          <w:rFonts w:ascii="宋体" w:hAnsi="宋体" w:eastAsia="宋体" w:cs="宋体"/>
          <w:color w:val="000000"/>
        </w:rPr>
        <w:t>①阐释了新质生产力的特点，成为了生产力发展水平的重要标志</w:t>
      </w:r>
    </w:p>
    <w:p w14:paraId="3D07ABAF">
      <w:pPr>
        <w:spacing w:line="360" w:lineRule="auto"/>
        <w:jc w:val="left"/>
        <w:textAlignment w:val="center"/>
        <w:rPr>
          <w:color w:val="000000"/>
        </w:rPr>
      </w:pPr>
      <w:r>
        <w:rPr>
          <w:rFonts w:ascii="宋体" w:hAnsi="宋体" w:eastAsia="宋体" w:cs="宋体"/>
          <w:color w:val="000000"/>
        </w:rPr>
        <w:t>②丰富了习近平经济思想的内涵，为高质量发展提供了科学指引</w:t>
      </w:r>
    </w:p>
    <w:p w14:paraId="3119BE87">
      <w:pPr>
        <w:spacing w:line="360" w:lineRule="auto"/>
        <w:jc w:val="left"/>
        <w:textAlignment w:val="center"/>
        <w:rPr>
          <w:color w:val="000000"/>
        </w:rPr>
      </w:pPr>
      <w:r>
        <w:rPr>
          <w:rFonts w:ascii="宋体" w:hAnsi="宋体" w:eastAsia="宋体" w:cs="宋体"/>
          <w:color w:val="000000"/>
        </w:rPr>
        <w:t>③深化了对生产力发展规律的认识，创新了马克思主义生产力理论</w:t>
      </w:r>
    </w:p>
    <w:p w14:paraId="251919BA">
      <w:pPr>
        <w:spacing w:line="360" w:lineRule="auto"/>
        <w:jc w:val="left"/>
        <w:textAlignment w:val="center"/>
        <w:rPr>
          <w:color w:val="000000"/>
        </w:rPr>
      </w:pPr>
      <w:r>
        <w:rPr>
          <w:rFonts w:ascii="宋体" w:hAnsi="宋体" w:eastAsia="宋体" w:cs="宋体"/>
          <w:color w:val="000000"/>
        </w:rPr>
        <w:t>④拓展了生产力构成的基本要素，催生了与之相适应的新型生产关系</w:t>
      </w:r>
    </w:p>
    <w:p w14:paraId="58733F2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596ADAF">
      <w:pPr>
        <w:spacing w:line="360" w:lineRule="auto"/>
        <w:jc w:val="left"/>
        <w:textAlignment w:val="center"/>
        <w:rPr>
          <w:color w:val="000000"/>
        </w:rPr>
      </w:pPr>
      <w:r>
        <w:rPr>
          <w:color w:val="000000"/>
        </w:rPr>
        <w:t xml:space="preserve">3. </w:t>
      </w:r>
      <w:r>
        <w:rPr>
          <w:rFonts w:ascii="宋体" w:hAnsi="宋体" w:eastAsia="宋体" w:cs="宋体"/>
          <w:color w:val="000000"/>
        </w:rPr>
        <w:t>下表显示了中国城镇化与产业发展的相关数据（数据来源：《中国统计年鉴2023》）。</w:t>
      </w:r>
    </w:p>
    <w:p w14:paraId="232F8CBF">
      <w:pPr>
        <w:spacing w:line="360" w:lineRule="auto"/>
        <w:jc w:val="left"/>
        <w:textAlignment w:val="center"/>
        <w:rPr>
          <w:color w:val="000000"/>
        </w:rPr>
      </w:pPr>
      <w:r>
        <w:rPr>
          <w:rFonts w:ascii="宋体" w:hAnsi="宋体" w:eastAsia="宋体" w:cs="宋体"/>
          <w:color w:val="000000"/>
        </w:rPr>
        <w:t>1992-2022年中国城镇化率和第一产业部分经济指标</w:t>
      </w:r>
    </w:p>
    <w:tbl>
      <w:tblPr>
        <w:tblStyle w:val="4"/>
        <w:tblW w:w="62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927"/>
        <w:gridCol w:w="1426"/>
        <w:gridCol w:w="1558"/>
        <w:gridCol w:w="1474"/>
      </w:tblGrid>
      <w:tr w14:paraId="63B68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FA1FD5">
            <w:pPr>
              <w:spacing w:line="360" w:lineRule="auto"/>
              <w:jc w:val="left"/>
              <w:textAlignment w:val="center"/>
              <w:rPr>
                <w:color w:val="000000"/>
              </w:rPr>
            </w:pPr>
            <w:r>
              <w:rPr>
                <w:rFonts w:ascii="宋体" w:hAnsi="宋体" w:eastAsia="宋体" w:cs="宋体"/>
                <w:color w:val="000000"/>
              </w:rPr>
              <w:t>年份（年）</w:t>
            </w:r>
          </w:p>
        </w:tc>
        <w:tc>
          <w:tcPr>
            <w:tcW w:w="93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AA4940">
            <w:pPr>
              <w:spacing w:line="360" w:lineRule="auto"/>
              <w:jc w:val="left"/>
              <w:textAlignment w:val="center"/>
              <w:rPr>
                <w:color w:val="000000"/>
              </w:rPr>
            </w:pPr>
            <w:r>
              <w:rPr>
                <w:rFonts w:ascii="宋体" w:hAnsi="宋体" w:eastAsia="宋体" w:cs="宋体"/>
                <w:color w:val="000000"/>
              </w:rPr>
              <w:t>城镇化率（%）</w:t>
            </w:r>
          </w:p>
        </w:tc>
        <w:tc>
          <w:tcPr>
            <w:tcW w:w="301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AC1F30">
            <w:pPr>
              <w:spacing w:line="360" w:lineRule="auto"/>
              <w:jc w:val="left"/>
              <w:textAlignment w:val="center"/>
              <w:rPr>
                <w:color w:val="000000"/>
              </w:rPr>
            </w:pPr>
            <w:r>
              <w:rPr>
                <w:rFonts w:ascii="宋体" w:hAnsi="宋体" w:eastAsia="宋体" w:cs="宋体"/>
                <w:color w:val="000000"/>
              </w:rPr>
              <w:t>第一产业占三次产业总量比重</w:t>
            </w:r>
          </w:p>
        </w:tc>
        <w:tc>
          <w:tcPr>
            <w:tcW w:w="148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F681FD">
            <w:pPr>
              <w:spacing w:line="360" w:lineRule="auto"/>
              <w:jc w:val="left"/>
              <w:textAlignment w:val="center"/>
              <w:rPr>
                <w:color w:val="000000"/>
              </w:rPr>
            </w:pPr>
            <w:r>
              <w:rPr>
                <w:rFonts w:ascii="宋体" w:hAnsi="宋体" w:eastAsia="宋体" w:cs="宋体"/>
                <w:color w:val="000000"/>
              </w:rPr>
              <w:t>第一产业GDP（亿元）</w:t>
            </w:r>
          </w:p>
        </w:tc>
      </w:tr>
      <w:tr w14:paraId="0C55C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7C99C2C">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3E1CCEDB">
            <w:pPr>
              <w:spacing w:line="360" w:lineRule="auto"/>
              <w:jc w:val="left"/>
              <w:textAlignment w:val="center"/>
              <w:rPr>
                <w:color w:val="000000"/>
              </w:rPr>
            </w:pP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A85F18">
            <w:pPr>
              <w:spacing w:line="360" w:lineRule="auto"/>
              <w:jc w:val="left"/>
              <w:textAlignment w:val="center"/>
              <w:rPr>
                <w:color w:val="000000"/>
              </w:rPr>
            </w:pPr>
            <w:r>
              <w:rPr>
                <w:rFonts w:ascii="宋体" w:hAnsi="宋体" w:eastAsia="宋体" w:cs="宋体"/>
                <w:color w:val="000000"/>
              </w:rPr>
              <w:t>就业占比（%）</w:t>
            </w:r>
          </w:p>
        </w:tc>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12D695">
            <w:pPr>
              <w:spacing w:line="360" w:lineRule="auto"/>
              <w:jc w:val="left"/>
              <w:textAlignment w:val="center"/>
              <w:rPr>
                <w:color w:val="000000"/>
              </w:rPr>
            </w:pPr>
            <w:r>
              <w:rPr>
                <w:rFonts w:ascii="宋体" w:hAnsi="宋体" w:eastAsia="宋体" w:cs="宋体"/>
                <w:color w:val="000000"/>
              </w:rPr>
              <w:t>GDP占比（%）</w:t>
            </w:r>
          </w:p>
        </w:tc>
        <w:tc>
          <w:tcPr>
            <w:vMerge w:val="continue"/>
            <w:tcBorders>
              <w:top w:val="single" w:color="000000" w:sz="6" w:space="0"/>
              <w:left w:val="single" w:color="000000" w:sz="6" w:space="0"/>
              <w:bottom w:val="single" w:color="000000" w:sz="6" w:space="0"/>
              <w:right w:val="single" w:color="000000" w:sz="6" w:space="0"/>
            </w:tcBorders>
          </w:tcPr>
          <w:p w14:paraId="10036ECB">
            <w:pPr>
              <w:spacing w:line="360" w:lineRule="auto"/>
              <w:jc w:val="left"/>
              <w:textAlignment w:val="center"/>
              <w:rPr>
                <w:color w:val="000000"/>
              </w:rPr>
            </w:pPr>
          </w:p>
        </w:tc>
      </w:tr>
      <w:tr w14:paraId="1ABD2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56E02A">
            <w:pPr>
              <w:spacing w:line="360" w:lineRule="auto"/>
              <w:jc w:val="left"/>
              <w:textAlignment w:val="center"/>
              <w:rPr>
                <w:color w:val="000000"/>
              </w:rPr>
            </w:pPr>
            <w:r>
              <w:rPr>
                <w:rFonts w:ascii="宋体" w:hAnsi="宋体" w:eastAsia="宋体" w:cs="宋体"/>
                <w:color w:val="000000"/>
              </w:rPr>
              <w:t>1992</w:t>
            </w:r>
          </w:p>
        </w:tc>
        <w:tc>
          <w:tcPr>
            <w:tcW w:w="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8BCCB">
            <w:pPr>
              <w:spacing w:line="360" w:lineRule="auto"/>
              <w:jc w:val="left"/>
              <w:textAlignment w:val="center"/>
              <w:rPr>
                <w:color w:val="000000"/>
              </w:rPr>
            </w:pPr>
            <w:r>
              <w:rPr>
                <w:rFonts w:ascii="宋体" w:hAnsi="宋体" w:eastAsia="宋体" w:cs="宋体"/>
                <w:color w:val="000000"/>
              </w:rPr>
              <w:t>27.5</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0DF862">
            <w:pPr>
              <w:spacing w:line="360" w:lineRule="auto"/>
              <w:jc w:val="left"/>
              <w:textAlignment w:val="center"/>
              <w:rPr>
                <w:color w:val="000000"/>
              </w:rPr>
            </w:pPr>
            <w:r>
              <w:rPr>
                <w:rFonts w:ascii="宋体" w:hAnsi="宋体" w:eastAsia="宋体" w:cs="宋体"/>
                <w:color w:val="000000"/>
              </w:rPr>
              <w:t>58.5</w:t>
            </w:r>
          </w:p>
        </w:tc>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B8B8FA">
            <w:pPr>
              <w:spacing w:line="360" w:lineRule="auto"/>
              <w:jc w:val="left"/>
              <w:textAlignment w:val="center"/>
              <w:rPr>
                <w:color w:val="000000"/>
              </w:rPr>
            </w:pPr>
            <w:r>
              <w:rPr>
                <w:rFonts w:ascii="宋体" w:hAnsi="宋体" w:eastAsia="宋体" w:cs="宋体"/>
                <w:color w:val="000000"/>
              </w:rPr>
              <w:t>21.3</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5F5DEC">
            <w:pPr>
              <w:spacing w:line="360" w:lineRule="auto"/>
              <w:jc w:val="left"/>
              <w:textAlignment w:val="center"/>
              <w:rPr>
                <w:color w:val="000000"/>
              </w:rPr>
            </w:pPr>
            <w:r>
              <w:rPr>
                <w:rFonts w:ascii="宋体" w:hAnsi="宋体" w:eastAsia="宋体" w:cs="宋体"/>
                <w:color w:val="000000"/>
              </w:rPr>
              <w:t>5800.3</w:t>
            </w:r>
          </w:p>
        </w:tc>
      </w:tr>
      <w:tr w14:paraId="5D110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ED5C79">
            <w:pPr>
              <w:spacing w:line="360" w:lineRule="auto"/>
              <w:jc w:val="left"/>
              <w:textAlignment w:val="center"/>
              <w:rPr>
                <w:color w:val="000000"/>
              </w:rPr>
            </w:pPr>
            <w:r>
              <w:rPr>
                <w:rFonts w:ascii="宋体" w:hAnsi="宋体" w:eastAsia="宋体" w:cs="宋体"/>
                <w:color w:val="000000"/>
              </w:rPr>
              <w:t>2002</w:t>
            </w:r>
          </w:p>
        </w:tc>
        <w:tc>
          <w:tcPr>
            <w:tcW w:w="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BFC18C">
            <w:pPr>
              <w:spacing w:line="360" w:lineRule="auto"/>
              <w:jc w:val="left"/>
              <w:textAlignment w:val="center"/>
              <w:rPr>
                <w:color w:val="000000"/>
              </w:rPr>
            </w:pPr>
            <w:r>
              <w:rPr>
                <w:rFonts w:ascii="宋体" w:hAnsi="宋体" w:eastAsia="宋体" w:cs="宋体"/>
                <w:color w:val="000000"/>
              </w:rPr>
              <w:t>39.1</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7E2B85">
            <w:pPr>
              <w:spacing w:line="360" w:lineRule="auto"/>
              <w:jc w:val="left"/>
              <w:textAlignment w:val="center"/>
              <w:rPr>
                <w:color w:val="000000"/>
              </w:rPr>
            </w:pPr>
            <w:r>
              <w:rPr>
                <w:rFonts w:ascii="宋体" w:hAnsi="宋体" w:eastAsia="宋体" w:cs="宋体"/>
                <w:color w:val="000000"/>
              </w:rPr>
              <w:t>50.0</w:t>
            </w:r>
          </w:p>
        </w:tc>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16E263">
            <w:pPr>
              <w:spacing w:line="360" w:lineRule="auto"/>
              <w:jc w:val="left"/>
              <w:textAlignment w:val="center"/>
              <w:rPr>
                <w:color w:val="000000"/>
              </w:rPr>
            </w:pPr>
            <w:r>
              <w:rPr>
                <w:rFonts w:ascii="宋体" w:hAnsi="宋体" w:eastAsia="宋体" w:cs="宋体"/>
                <w:color w:val="000000"/>
              </w:rPr>
              <w:t>13.3</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403FB5">
            <w:pPr>
              <w:spacing w:line="360" w:lineRule="auto"/>
              <w:jc w:val="left"/>
              <w:textAlignment w:val="center"/>
              <w:rPr>
                <w:color w:val="000000"/>
              </w:rPr>
            </w:pPr>
            <w:r>
              <w:rPr>
                <w:rFonts w:ascii="宋体" w:hAnsi="宋体" w:eastAsia="宋体" w:cs="宋体"/>
                <w:color w:val="000000"/>
              </w:rPr>
              <w:t>16190.2</w:t>
            </w:r>
          </w:p>
        </w:tc>
      </w:tr>
      <w:tr w14:paraId="2A0E1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C93122">
            <w:pPr>
              <w:spacing w:line="360" w:lineRule="auto"/>
              <w:jc w:val="left"/>
              <w:textAlignment w:val="center"/>
              <w:rPr>
                <w:color w:val="000000"/>
              </w:rPr>
            </w:pPr>
            <w:r>
              <w:rPr>
                <w:rFonts w:ascii="宋体" w:hAnsi="宋体" w:eastAsia="宋体" w:cs="宋体"/>
                <w:color w:val="000000"/>
              </w:rPr>
              <w:t>2012</w:t>
            </w:r>
          </w:p>
        </w:tc>
        <w:tc>
          <w:tcPr>
            <w:tcW w:w="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7D7DD3">
            <w:pPr>
              <w:spacing w:line="360" w:lineRule="auto"/>
              <w:jc w:val="left"/>
              <w:textAlignment w:val="center"/>
              <w:rPr>
                <w:color w:val="000000"/>
              </w:rPr>
            </w:pPr>
            <w:r>
              <w:rPr>
                <w:rFonts w:ascii="宋体" w:hAnsi="宋体" w:eastAsia="宋体" w:cs="宋体"/>
                <w:color w:val="000000"/>
              </w:rPr>
              <w:t>53.1</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7108CC">
            <w:pPr>
              <w:spacing w:line="360" w:lineRule="auto"/>
              <w:jc w:val="left"/>
              <w:textAlignment w:val="center"/>
              <w:rPr>
                <w:color w:val="000000"/>
              </w:rPr>
            </w:pPr>
            <w:r>
              <w:rPr>
                <w:rFonts w:ascii="宋体" w:hAnsi="宋体" w:eastAsia="宋体" w:cs="宋体"/>
                <w:color w:val="000000"/>
              </w:rPr>
              <w:t>33.5</w:t>
            </w:r>
          </w:p>
        </w:tc>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A781D9">
            <w:pPr>
              <w:spacing w:line="360" w:lineRule="auto"/>
              <w:jc w:val="left"/>
              <w:textAlignment w:val="center"/>
              <w:rPr>
                <w:color w:val="000000"/>
              </w:rPr>
            </w:pPr>
            <w:r>
              <w:rPr>
                <w:rFonts w:ascii="宋体" w:hAnsi="宋体" w:eastAsia="宋体" w:cs="宋体"/>
                <w:color w:val="000000"/>
              </w:rPr>
              <w:t>9.1</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FE7036">
            <w:pPr>
              <w:spacing w:line="360" w:lineRule="auto"/>
              <w:jc w:val="left"/>
              <w:textAlignment w:val="center"/>
              <w:rPr>
                <w:color w:val="000000"/>
              </w:rPr>
            </w:pPr>
            <w:r>
              <w:rPr>
                <w:rFonts w:ascii="宋体" w:hAnsi="宋体" w:eastAsia="宋体" w:cs="宋体"/>
                <w:color w:val="000000"/>
              </w:rPr>
              <w:t>49084.6</w:t>
            </w:r>
          </w:p>
        </w:tc>
      </w:tr>
      <w:tr w14:paraId="0FE76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522152">
            <w:pPr>
              <w:spacing w:line="360" w:lineRule="auto"/>
              <w:jc w:val="left"/>
              <w:textAlignment w:val="center"/>
              <w:rPr>
                <w:color w:val="000000"/>
              </w:rPr>
            </w:pPr>
            <w:r>
              <w:rPr>
                <w:rFonts w:ascii="宋体" w:hAnsi="宋体" w:eastAsia="宋体" w:cs="宋体"/>
                <w:color w:val="000000"/>
              </w:rPr>
              <w:t>2022</w:t>
            </w:r>
          </w:p>
        </w:tc>
        <w:tc>
          <w:tcPr>
            <w:tcW w:w="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CB190F">
            <w:pPr>
              <w:spacing w:line="360" w:lineRule="auto"/>
              <w:jc w:val="left"/>
              <w:textAlignment w:val="center"/>
              <w:rPr>
                <w:color w:val="000000"/>
              </w:rPr>
            </w:pPr>
            <w:r>
              <w:rPr>
                <w:rFonts w:ascii="宋体" w:hAnsi="宋体" w:eastAsia="宋体" w:cs="宋体"/>
                <w:color w:val="000000"/>
              </w:rPr>
              <w:t>65.2</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158D64">
            <w:pPr>
              <w:spacing w:line="360" w:lineRule="auto"/>
              <w:jc w:val="left"/>
              <w:textAlignment w:val="center"/>
              <w:rPr>
                <w:color w:val="000000"/>
              </w:rPr>
            </w:pPr>
            <w:r>
              <w:rPr>
                <w:rFonts w:ascii="宋体" w:hAnsi="宋体" w:eastAsia="宋体" w:cs="宋体"/>
                <w:color w:val="000000"/>
              </w:rPr>
              <w:t>24.1</w:t>
            </w:r>
          </w:p>
        </w:tc>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2D0D45">
            <w:pPr>
              <w:spacing w:line="360" w:lineRule="auto"/>
              <w:jc w:val="left"/>
              <w:textAlignment w:val="center"/>
              <w:rPr>
                <w:color w:val="000000"/>
              </w:rPr>
            </w:pPr>
            <w:r>
              <w:rPr>
                <w:rFonts w:ascii="宋体" w:hAnsi="宋体" w:eastAsia="宋体" w:cs="宋体"/>
                <w:color w:val="000000"/>
              </w:rPr>
              <w:t>7.3</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2BA955">
            <w:pPr>
              <w:spacing w:line="360" w:lineRule="auto"/>
              <w:jc w:val="left"/>
              <w:textAlignment w:val="center"/>
              <w:rPr>
                <w:color w:val="000000"/>
              </w:rPr>
            </w:pPr>
            <w:r>
              <w:rPr>
                <w:rFonts w:ascii="宋体" w:hAnsi="宋体" w:eastAsia="宋体" w:cs="宋体"/>
                <w:color w:val="000000"/>
              </w:rPr>
              <w:t>88345.1</w:t>
            </w:r>
          </w:p>
        </w:tc>
      </w:tr>
    </w:tbl>
    <w:p w14:paraId="245BCD54">
      <w:pPr>
        <w:spacing w:line="360" w:lineRule="auto"/>
        <w:jc w:val="left"/>
        <w:textAlignment w:val="center"/>
        <w:rPr>
          <w:color w:val="000000"/>
        </w:rPr>
      </w:pPr>
      <w:r>
        <w:rPr>
          <w:rFonts w:ascii="宋体" w:hAnsi="宋体" w:eastAsia="宋体" w:cs="宋体"/>
          <w:color w:val="000000"/>
        </w:rPr>
        <w:t>（注：三次产业为第一、二、三产业总称）</w:t>
      </w:r>
    </w:p>
    <w:p w14:paraId="4FAEDF87">
      <w:pPr>
        <w:spacing w:line="360" w:lineRule="auto"/>
        <w:jc w:val="left"/>
        <w:textAlignment w:val="center"/>
        <w:rPr>
          <w:color w:val="000000"/>
        </w:rPr>
      </w:pPr>
      <w:r>
        <w:rPr>
          <w:rFonts w:ascii="宋体" w:hAnsi="宋体" w:eastAsia="宋体" w:cs="宋体"/>
          <w:color w:val="000000"/>
        </w:rPr>
        <w:t>结合表中信息，以下分析正确的是（   ）</w:t>
      </w:r>
    </w:p>
    <w:p w14:paraId="1036754D">
      <w:pPr>
        <w:spacing w:line="360" w:lineRule="auto"/>
        <w:jc w:val="left"/>
        <w:textAlignment w:val="center"/>
        <w:rPr>
          <w:color w:val="000000"/>
        </w:rPr>
      </w:pPr>
      <w:r>
        <w:rPr>
          <w:rFonts w:ascii="宋体" w:hAnsi="宋体" w:eastAsia="宋体" w:cs="宋体"/>
          <w:color w:val="000000"/>
        </w:rPr>
        <w:t>①城镇化为第二、三产业提供丰富的劳动力</w:t>
      </w:r>
    </w:p>
    <w:p w14:paraId="01797B2B">
      <w:pPr>
        <w:spacing w:line="360" w:lineRule="auto"/>
        <w:jc w:val="left"/>
        <w:textAlignment w:val="center"/>
        <w:rPr>
          <w:color w:val="000000"/>
        </w:rPr>
      </w:pPr>
      <w:r>
        <w:rPr>
          <w:rFonts w:ascii="宋体" w:hAnsi="宋体" w:eastAsia="宋体" w:cs="宋体"/>
          <w:color w:val="000000"/>
        </w:rPr>
        <w:t>②城镇化水平与第一产业的生产效率负相关</w:t>
      </w:r>
    </w:p>
    <w:p w14:paraId="34FA5000">
      <w:pPr>
        <w:spacing w:line="360" w:lineRule="auto"/>
        <w:jc w:val="left"/>
        <w:textAlignment w:val="center"/>
        <w:rPr>
          <w:color w:val="000000"/>
        </w:rPr>
      </w:pPr>
      <w:r>
        <w:rPr>
          <w:rFonts w:ascii="宋体" w:hAnsi="宋体" w:eastAsia="宋体" w:cs="宋体"/>
          <w:color w:val="000000"/>
        </w:rPr>
        <w:t>③城镇化水平的提升伴随着三次产业结构的升级</w:t>
      </w:r>
    </w:p>
    <w:p w14:paraId="61188D97">
      <w:pPr>
        <w:spacing w:line="360" w:lineRule="auto"/>
        <w:jc w:val="left"/>
        <w:textAlignment w:val="center"/>
        <w:rPr>
          <w:color w:val="000000"/>
        </w:rPr>
      </w:pPr>
      <w:r>
        <w:rPr>
          <w:rFonts w:ascii="宋体" w:hAnsi="宋体" w:eastAsia="宋体" w:cs="宋体"/>
          <w:color w:val="000000"/>
        </w:rPr>
        <w:t>④城镇化水平决定了三次产业间产值差距的大小</w:t>
      </w:r>
    </w:p>
    <w:p w14:paraId="63FB45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652DCCE">
      <w:pPr>
        <w:spacing w:line="360" w:lineRule="auto"/>
        <w:jc w:val="left"/>
        <w:textAlignment w:val="center"/>
        <w:rPr>
          <w:color w:val="000000"/>
        </w:rPr>
      </w:pPr>
      <w:r>
        <w:rPr>
          <w:color w:val="000000"/>
        </w:rPr>
        <w:t xml:space="preserve">4. </w:t>
      </w:r>
      <w:r>
        <w:rPr>
          <w:rFonts w:ascii="宋体" w:hAnsi="宋体" w:eastAsia="宋体" w:cs="宋体"/>
          <w:color w:val="000000"/>
        </w:rPr>
        <w:t>自然资源部根据2024年中央一号文件部署，将着重完善制度，全面建立“国家管总量、省级负总责、市县抓落实”的耕地占补平衡新机制，有效抵补非农建设占用耕地数量损失，严守十八亿亩耕地红线。以上举措旨在（   ）</w:t>
      </w:r>
    </w:p>
    <w:p w14:paraId="5C907DFC">
      <w:pPr>
        <w:spacing w:line="360" w:lineRule="auto"/>
        <w:jc w:val="left"/>
        <w:textAlignment w:val="center"/>
        <w:rPr>
          <w:color w:val="000000"/>
        </w:rPr>
      </w:pPr>
      <w:r>
        <w:rPr>
          <w:rFonts w:ascii="宋体" w:hAnsi="宋体" w:eastAsia="宋体" w:cs="宋体"/>
          <w:color w:val="000000"/>
        </w:rPr>
        <w:t>①防止耕地资源被用于更高收益</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非农建设领域</w:t>
      </w:r>
    </w:p>
    <w:p w14:paraId="384EB671">
      <w:pPr>
        <w:spacing w:line="360" w:lineRule="auto"/>
        <w:jc w:val="left"/>
        <w:textAlignment w:val="center"/>
        <w:rPr>
          <w:color w:val="000000"/>
        </w:rPr>
      </w:pPr>
      <w:r>
        <w:rPr>
          <w:rFonts w:ascii="宋体" w:hAnsi="宋体" w:eastAsia="宋体" w:cs="宋体"/>
          <w:color w:val="000000"/>
        </w:rPr>
        <w:t>②保证补充耕地与被占耕地数量相等、质量相当</w:t>
      </w:r>
    </w:p>
    <w:p w14:paraId="6B2AFB61">
      <w:pPr>
        <w:spacing w:line="360" w:lineRule="auto"/>
        <w:jc w:val="left"/>
        <w:textAlignment w:val="center"/>
        <w:rPr>
          <w:color w:val="000000"/>
        </w:rPr>
      </w:pPr>
      <w:r>
        <w:rPr>
          <w:rFonts w:ascii="宋体" w:hAnsi="宋体" w:eastAsia="宋体" w:cs="宋体"/>
          <w:color w:val="000000"/>
        </w:rPr>
        <w:t>③通过严守耕地总量的动态平衡来保障粮食安全</w:t>
      </w:r>
    </w:p>
    <w:p w14:paraId="6059D5F6">
      <w:pPr>
        <w:spacing w:line="360" w:lineRule="auto"/>
        <w:jc w:val="left"/>
        <w:textAlignment w:val="center"/>
        <w:rPr>
          <w:color w:val="000000"/>
        </w:rPr>
      </w:pPr>
      <w:r>
        <w:rPr>
          <w:rFonts w:ascii="宋体" w:hAnsi="宋体" w:eastAsia="宋体" w:cs="宋体"/>
          <w:color w:val="000000"/>
        </w:rPr>
        <w:t>④解决市场机制在调配耕地资源方面的失灵问题</w:t>
      </w:r>
    </w:p>
    <w:p w14:paraId="2E082B3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3CE7991">
      <w:pPr>
        <w:spacing w:line="360" w:lineRule="auto"/>
        <w:jc w:val="left"/>
        <w:textAlignment w:val="center"/>
        <w:rPr>
          <w:color w:val="000000"/>
        </w:rPr>
      </w:pPr>
      <w:r>
        <w:rPr>
          <w:color w:val="000000"/>
        </w:rPr>
        <w:t xml:space="preserve">5. </w:t>
      </w:r>
      <w:r>
        <w:rPr>
          <w:rFonts w:ascii="宋体" w:hAnsi="宋体" w:eastAsia="宋体" w:cs="宋体"/>
          <w:color w:val="000000"/>
        </w:rPr>
        <w:t>某国有科技产业集团为破解关键设备核心技术“卡脖子”难题，成立由集团党委牵头的专项工作领导小组，将党组织建在产业链上，组建以党员为核心的攻坚团队，以党建共建为牵引，对项目重大节点统一调度，设备最终研制成功。这表明该集团（   ）</w:t>
      </w:r>
    </w:p>
    <w:p w14:paraId="57EBB152">
      <w:pPr>
        <w:spacing w:line="360" w:lineRule="auto"/>
        <w:jc w:val="left"/>
        <w:textAlignment w:val="center"/>
        <w:rPr>
          <w:color w:val="000000"/>
        </w:rPr>
      </w:pPr>
      <w:r>
        <w:rPr>
          <w:rFonts w:ascii="宋体" w:hAnsi="宋体" w:eastAsia="宋体" w:cs="宋体"/>
          <w:color w:val="000000"/>
        </w:rPr>
        <w:t>①完善党的领导制度体系，实现资源的有效整合</w:t>
      </w:r>
    </w:p>
    <w:p w14:paraId="41C3825E">
      <w:pPr>
        <w:spacing w:line="360" w:lineRule="auto"/>
        <w:jc w:val="left"/>
        <w:textAlignment w:val="center"/>
        <w:rPr>
          <w:color w:val="000000"/>
        </w:rPr>
      </w:pPr>
      <w:r>
        <w:rPr>
          <w:rFonts w:ascii="宋体" w:hAnsi="宋体" w:eastAsia="宋体" w:cs="宋体"/>
          <w:color w:val="000000"/>
        </w:rPr>
        <w:t>②发挥党员先锋模范作用，激发研发人员战斗力</w:t>
      </w:r>
    </w:p>
    <w:p w14:paraId="2D7C31F8">
      <w:pPr>
        <w:spacing w:line="360" w:lineRule="auto"/>
        <w:jc w:val="left"/>
        <w:textAlignment w:val="center"/>
        <w:rPr>
          <w:color w:val="000000"/>
        </w:rPr>
      </w:pPr>
      <w:r>
        <w:rPr>
          <w:rFonts w:ascii="宋体" w:hAnsi="宋体" w:eastAsia="宋体" w:cs="宋体"/>
          <w:color w:val="000000"/>
        </w:rPr>
        <w:t>③以党的组织建设为统领，保障设备的研制成功</w:t>
      </w:r>
    </w:p>
    <w:p w14:paraId="5DA82492">
      <w:pPr>
        <w:spacing w:line="360" w:lineRule="auto"/>
        <w:jc w:val="left"/>
        <w:textAlignment w:val="center"/>
        <w:rPr>
          <w:color w:val="000000"/>
        </w:rPr>
      </w:pPr>
      <w:r>
        <w:rPr>
          <w:rFonts w:ascii="宋体" w:hAnsi="宋体" w:eastAsia="宋体" w:cs="宋体"/>
          <w:color w:val="000000"/>
        </w:rPr>
        <w:t>④将党建与业务工作融合，为攻坚克难凝心聚力</w:t>
      </w:r>
    </w:p>
    <w:p w14:paraId="7C0B62F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696C545">
      <w:pPr>
        <w:spacing w:line="360" w:lineRule="auto"/>
        <w:jc w:val="left"/>
        <w:textAlignment w:val="center"/>
        <w:rPr>
          <w:color w:val="000000"/>
        </w:rPr>
      </w:pPr>
      <w:r>
        <w:rPr>
          <w:color w:val="000000"/>
        </w:rPr>
        <w:t xml:space="preserve">6. </w:t>
      </w:r>
      <w:r>
        <w:rPr>
          <w:rFonts w:ascii="宋体" w:hAnsi="宋体" w:eastAsia="宋体" w:cs="宋体"/>
          <w:color w:val="000000"/>
        </w:rPr>
        <w:t>某区人大建立人大代表督事制度，邀请媒体到场，组织人大代表、职能部门与群众面对面解决落实利民实事。为提高人大代表督事质量和积极性，区人大对其实行了自我述评、民主测评和中心组考评</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“三维联评”机制。这说明该区人大（   ）</w:t>
      </w:r>
    </w:p>
    <w:p w14:paraId="12BC8984">
      <w:pPr>
        <w:spacing w:line="360" w:lineRule="auto"/>
        <w:jc w:val="left"/>
        <w:textAlignment w:val="center"/>
        <w:rPr>
          <w:color w:val="000000"/>
        </w:rPr>
      </w:pPr>
      <w:r>
        <w:rPr>
          <w:rFonts w:ascii="宋体" w:hAnsi="宋体" w:eastAsia="宋体" w:cs="宋体"/>
          <w:color w:val="000000"/>
        </w:rPr>
        <w:t>①推进工作制度创新，践行全过程人民民主</w:t>
      </w:r>
    </w:p>
    <w:p w14:paraId="49309EC5">
      <w:pPr>
        <w:spacing w:line="360" w:lineRule="auto"/>
        <w:jc w:val="left"/>
        <w:textAlignment w:val="center"/>
        <w:rPr>
          <w:color w:val="000000"/>
        </w:rPr>
      </w:pPr>
      <w:r>
        <w:rPr>
          <w:rFonts w:ascii="宋体" w:hAnsi="宋体" w:eastAsia="宋体" w:cs="宋体"/>
          <w:color w:val="000000"/>
        </w:rPr>
        <w:t>②畅通民意表达渠道，助力利民实事的解决</w:t>
      </w:r>
    </w:p>
    <w:p w14:paraId="45545185">
      <w:pPr>
        <w:spacing w:line="360" w:lineRule="auto"/>
        <w:jc w:val="left"/>
        <w:textAlignment w:val="center"/>
        <w:rPr>
          <w:color w:val="000000"/>
        </w:rPr>
      </w:pPr>
      <w:r>
        <w:rPr>
          <w:rFonts w:ascii="宋体" w:hAnsi="宋体" w:eastAsia="宋体" w:cs="宋体"/>
          <w:color w:val="000000"/>
        </w:rPr>
        <w:t>③支持人大代表履职，提高了代表决策能力</w:t>
      </w:r>
    </w:p>
    <w:p w14:paraId="4E46CBED">
      <w:pPr>
        <w:spacing w:line="360" w:lineRule="auto"/>
        <w:jc w:val="left"/>
        <w:textAlignment w:val="center"/>
        <w:rPr>
          <w:color w:val="000000"/>
        </w:rPr>
      </w:pPr>
      <w:r>
        <w:rPr>
          <w:rFonts w:ascii="宋体" w:hAnsi="宋体" w:eastAsia="宋体" w:cs="宋体"/>
          <w:color w:val="000000"/>
        </w:rPr>
        <w:t>④将督事与联评结合，与职能部门相互监督</w:t>
      </w:r>
    </w:p>
    <w:p w14:paraId="5F96B92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3487075">
      <w:pPr>
        <w:spacing w:line="360" w:lineRule="auto"/>
        <w:jc w:val="left"/>
        <w:textAlignment w:val="center"/>
        <w:rPr>
          <w:color w:val="000000"/>
        </w:rPr>
      </w:pPr>
      <w:r>
        <w:rPr>
          <w:color w:val="000000"/>
        </w:rPr>
        <w:t xml:space="preserve">7. </w:t>
      </w:r>
      <w:r>
        <w:rPr>
          <w:rFonts w:ascii="宋体" w:hAnsi="宋体" w:eastAsia="宋体" w:cs="宋体"/>
          <w:color w:val="000000"/>
        </w:rPr>
        <w:t>某市民政部门通过大数据救助平台监测到某村民近几月有大额医疗支出，迅速派单至乡镇。乡镇干部会同村干部入户调查核实后，将该村民纳入低保，并给予大病救助金。村协管员将摸排和救助结果及时录入大数据救助平台。可见，该民政部门（   ）</w:t>
      </w:r>
    </w:p>
    <w:p w14:paraId="6A7C96DA">
      <w:pPr>
        <w:spacing w:line="360" w:lineRule="auto"/>
        <w:jc w:val="left"/>
        <w:textAlignment w:val="center"/>
        <w:rPr>
          <w:color w:val="000000"/>
        </w:rPr>
      </w:pPr>
      <w:r>
        <w:rPr>
          <w:rFonts w:ascii="宋体" w:hAnsi="宋体" w:eastAsia="宋体" w:cs="宋体"/>
          <w:color w:val="000000"/>
        </w:rPr>
        <w:t>①以大数据为抓手实施救助，使困难群众共享“数字红利”</w:t>
      </w:r>
    </w:p>
    <w:p w14:paraId="7FB252FF">
      <w:pPr>
        <w:spacing w:line="360" w:lineRule="auto"/>
        <w:jc w:val="left"/>
        <w:textAlignment w:val="center"/>
        <w:rPr>
          <w:color w:val="000000"/>
        </w:rPr>
      </w:pPr>
      <w:r>
        <w:rPr>
          <w:rFonts w:ascii="宋体" w:hAnsi="宋体" w:eastAsia="宋体" w:cs="宋体"/>
          <w:color w:val="000000"/>
        </w:rPr>
        <w:t>②规范“监测-核实-处置”救助流程，实现工作程序法定化</w:t>
      </w:r>
    </w:p>
    <w:p w14:paraId="7C23FDC8">
      <w:pPr>
        <w:spacing w:line="360" w:lineRule="auto"/>
        <w:jc w:val="left"/>
        <w:textAlignment w:val="center"/>
        <w:rPr>
          <w:color w:val="000000"/>
        </w:rPr>
      </w:pPr>
      <w:r>
        <w:rPr>
          <w:rFonts w:ascii="宋体" w:hAnsi="宋体" w:eastAsia="宋体" w:cs="宋体"/>
          <w:color w:val="000000"/>
        </w:rPr>
        <w:t>③发挥平台监测等功能，提高基层治理智能化、社会化水平</w:t>
      </w:r>
    </w:p>
    <w:p w14:paraId="7F7E6FF8">
      <w:pPr>
        <w:spacing w:line="360" w:lineRule="auto"/>
        <w:jc w:val="left"/>
        <w:textAlignment w:val="center"/>
        <w:rPr>
          <w:color w:val="000000"/>
        </w:rPr>
      </w:pPr>
      <w:r>
        <w:rPr>
          <w:rFonts w:ascii="宋体" w:hAnsi="宋体" w:eastAsia="宋体" w:cs="宋体"/>
          <w:color w:val="000000"/>
        </w:rPr>
        <w:t>④调动多元主体参与救助工作，提升基层群众自治的积极性</w:t>
      </w:r>
    </w:p>
    <w:p w14:paraId="23D387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BE2FF08">
      <w:pPr>
        <w:spacing w:line="360" w:lineRule="auto"/>
        <w:jc w:val="left"/>
        <w:textAlignment w:val="center"/>
        <w:rPr>
          <w:color w:val="000000"/>
        </w:rPr>
      </w:pPr>
      <w:r>
        <w:rPr>
          <w:color w:val="000000"/>
        </w:rPr>
        <w:t xml:space="preserve">8. </w:t>
      </w:r>
      <w:r>
        <w:rPr>
          <w:rFonts w:ascii="宋体" w:hAnsi="宋体" w:eastAsia="宋体" w:cs="宋体"/>
          <w:color w:val="000000"/>
        </w:rPr>
        <w:t>中国国家博物馆收藏的三彩骆驼载乐俑（图）是唐三彩中的国宝级精品，其造型为一峰骆驼驮载五位胡、汉乐舞人表演的形象。该文物展现了盛唐时期国际化都城长安百姓喜爱的胡人乐舞艺术，是当时文化交流和民族融合的印证。这表明（   ）</w:t>
      </w:r>
    </w:p>
    <w:p w14:paraId="2A4F375E">
      <w:pPr>
        <w:spacing w:line="360" w:lineRule="auto"/>
        <w:jc w:val="left"/>
        <w:textAlignment w:val="center"/>
        <w:rPr>
          <w:color w:val="000000"/>
        </w:rPr>
      </w:pPr>
      <w:r>
        <w:rPr>
          <w:color w:val="000000"/>
        </w:rPr>
        <w:drawing>
          <wp:inline distT="0" distB="0" distL="114300" distR="114300">
            <wp:extent cx="1447800" cy="18764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447800" cy="1876425"/>
                    </a:xfrm>
                    <a:prstGeom prst="rect">
                      <a:avLst/>
                    </a:prstGeom>
                  </pic:spPr>
                </pic:pic>
              </a:graphicData>
            </a:graphic>
          </wp:inline>
        </w:drawing>
      </w:r>
    </w:p>
    <w:p w14:paraId="0100A144">
      <w:pPr>
        <w:spacing w:line="360" w:lineRule="auto"/>
        <w:jc w:val="left"/>
        <w:textAlignment w:val="center"/>
        <w:rPr>
          <w:color w:val="000000"/>
        </w:rPr>
      </w:pPr>
      <w:r>
        <w:rPr>
          <w:rFonts w:ascii="宋体" w:hAnsi="宋体" w:eastAsia="宋体" w:cs="宋体"/>
          <w:color w:val="000000"/>
        </w:rPr>
        <w:t>①乐舞表演构成了长安百姓社会生活的精神文化领域</w:t>
      </w:r>
    </w:p>
    <w:p w14:paraId="6F99C122">
      <w:pPr>
        <w:spacing w:line="360" w:lineRule="auto"/>
        <w:jc w:val="left"/>
        <w:textAlignment w:val="center"/>
        <w:rPr>
          <w:color w:val="000000"/>
        </w:rPr>
      </w:pPr>
      <w:r>
        <w:rPr>
          <w:rFonts w:ascii="宋体" w:hAnsi="宋体" w:eastAsia="宋体" w:cs="宋体"/>
          <w:color w:val="000000"/>
        </w:rPr>
        <w:t>②胡汉之间的文化交流推动唐代历史发展进入新阶段</w:t>
      </w:r>
    </w:p>
    <w:p w14:paraId="0A550641">
      <w:pPr>
        <w:spacing w:line="360" w:lineRule="auto"/>
        <w:jc w:val="left"/>
        <w:textAlignment w:val="center"/>
        <w:rPr>
          <w:color w:val="000000"/>
        </w:rPr>
      </w:pPr>
      <w:r>
        <w:rPr>
          <w:rFonts w:ascii="宋体" w:hAnsi="宋体" w:eastAsia="宋体" w:cs="宋体"/>
          <w:color w:val="000000"/>
        </w:rPr>
        <w:t>③三彩骆驼载乐俑艺术地折射出长安繁荣的社会景象</w:t>
      </w:r>
    </w:p>
    <w:p w14:paraId="474399E6">
      <w:pPr>
        <w:spacing w:line="360" w:lineRule="auto"/>
        <w:jc w:val="left"/>
        <w:textAlignment w:val="center"/>
        <w:rPr>
          <w:color w:val="000000"/>
        </w:rPr>
      </w:pPr>
      <w:r>
        <w:rPr>
          <w:rFonts w:ascii="宋体" w:hAnsi="宋体" w:eastAsia="宋体" w:cs="宋体"/>
          <w:color w:val="000000"/>
        </w:rPr>
        <w:t>④胡汉民族杂居为胡人乐舞风靡长安提供了现实条件</w:t>
      </w:r>
    </w:p>
    <w:p w14:paraId="5EEDF5E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73243FF">
      <w:pPr>
        <w:spacing w:line="360" w:lineRule="auto"/>
        <w:jc w:val="left"/>
        <w:textAlignment w:val="center"/>
        <w:rPr>
          <w:color w:val="000000"/>
        </w:rPr>
      </w:pPr>
      <w:r>
        <w:rPr>
          <w:color w:val="000000"/>
        </w:rPr>
        <w:t xml:space="preserve">9. </w:t>
      </w:r>
      <w:r>
        <w:rPr>
          <w:rFonts w:ascii="宋体" w:hAnsi="宋体" w:eastAsia="宋体" w:cs="宋体"/>
          <w:color w:val="000000"/>
        </w:rPr>
        <w:t>“昔我往矣，杨柳依依”（《诗经·采薇》）。柳树被古人赋予丰富的文化内涵，以其飘逸、优美的姿态出现在众多艺术作品中。柳树根系发达，古人在道旁植柳以固堤护路，并营造了“细柳夹道生”（刘桢《赠徐干诗》）的景色。20世纪末以来，研究人员利用柳树能吸收并转化土壤中污染物的特性将其用于生态修复。由此可知（   ）</w:t>
      </w:r>
    </w:p>
    <w:p w14:paraId="35B983AE">
      <w:pPr>
        <w:spacing w:line="360" w:lineRule="auto"/>
        <w:jc w:val="left"/>
        <w:textAlignment w:val="center"/>
        <w:rPr>
          <w:color w:val="000000"/>
        </w:rPr>
      </w:pPr>
      <w:r>
        <w:rPr>
          <w:rFonts w:ascii="宋体" w:hAnsi="宋体" w:eastAsia="宋体" w:cs="宋体"/>
          <w:color w:val="000000"/>
        </w:rPr>
        <w:t>①柳树在艺术作品中的呈现是思维对感性材料的能动反映</w:t>
      </w:r>
    </w:p>
    <w:p w14:paraId="6E2B15F4">
      <w:pPr>
        <w:spacing w:line="360" w:lineRule="auto"/>
        <w:jc w:val="left"/>
        <w:textAlignment w:val="center"/>
        <w:rPr>
          <w:color w:val="000000"/>
        </w:rPr>
      </w:pPr>
      <w:r>
        <w:rPr>
          <w:rFonts w:ascii="宋体" w:hAnsi="宋体" w:eastAsia="宋体" w:cs="宋体"/>
          <w:color w:val="000000"/>
        </w:rPr>
        <w:t>②柳树根系发达的特性是人们利用其固堤护路的前提条件</w:t>
      </w:r>
    </w:p>
    <w:p w14:paraId="77D49585">
      <w:pPr>
        <w:spacing w:line="360" w:lineRule="auto"/>
        <w:jc w:val="left"/>
        <w:textAlignment w:val="center"/>
        <w:rPr>
          <w:color w:val="000000"/>
        </w:rPr>
      </w:pPr>
      <w:r>
        <w:rPr>
          <w:rFonts w:ascii="宋体" w:hAnsi="宋体" w:eastAsia="宋体" w:cs="宋体"/>
          <w:color w:val="000000"/>
        </w:rPr>
        <w:t>③古诗中所描绘的柳树形象源自于作者头脑中的主观理念</w:t>
      </w:r>
    </w:p>
    <w:p w14:paraId="6C3846E9">
      <w:pPr>
        <w:spacing w:line="360" w:lineRule="auto"/>
        <w:jc w:val="left"/>
        <w:textAlignment w:val="center"/>
        <w:rPr>
          <w:color w:val="000000"/>
        </w:rPr>
      </w:pPr>
      <w:r>
        <w:rPr>
          <w:rFonts w:ascii="宋体" w:hAnsi="宋体" w:eastAsia="宋体" w:cs="宋体"/>
          <w:color w:val="000000"/>
        </w:rPr>
        <w:t>④形象思维的运用使研究人员发现了柳树的生态修复功能</w:t>
      </w:r>
    </w:p>
    <w:p w14:paraId="7028AAA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8E26F0B">
      <w:pPr>
        <w:spacing w:line="360" w:lineRule="auto"/>
        <w:jc w:val="left"/>
        <w:textAlignment w:val="center"/>
        <w:rPr>
          <w:color w:val="000000"/>
        </w:rPr>
      </w:pPr>
      <w:r>
        <w:rPr>
          <w:color w:val="000000"/>
        </w:rPr>
        <w:t xml:space="preserve">10. </w:t>
      </w:r>
      <w:r>
        <w:rPr>
          <w:rFonts w:ascii="宋体" w:hAnsi="宋体" w:eastAsia="宋体" w:cs="宋体"/>
          <w:color w:val="000000"/>
        </w:rPr>
        <w:t>龟兔赛跑的寓言故事在中国广为人知，漫画（图）描绘了比赛结束后兔子在领奖台“找差距”的情境。兔子在此所犯的错误是（   ）</w:t>
      </w:r>
    </w:p>
    <w:p w14:paraId="1BBA5F94">
      <w:pPr>
        <w:spacing w:line="360" w:lineRule="auto"/>
        <w:jc w:val="left"/>
        <w:textAlignment w:val="center"/>
        <w:rPr>
          <w:color w:val="000000"/>
        </w:rPr>
      </w:pPr>
      <w:r>
        <w:rPr>
          <w:color w:val="000000"/>
        </w:rPr>
        <w:drawing>
          <wp:inline distT="0" distB="0" distL="114300" distR="114300">
            <wp:extent cx="2209800" cy="22193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209800" cy="2219325"/>
                    </a:xfrm>
                    <a:prstGeom prst="rect">
                      <a:avLst/>
                    </a:prstGeom>
                  </pic:spPr>
                </pic:pic>
              </a:graphicData>
            </a:graphic>
          </wp:inline>
        </w:drawing>
      </w:r>
    </w:p>
    <w:p w14:paraId="1C57028A">
      <w:pPr>
        <w:spacing w:line="360" w:lineRule="auto"/>
        <w:jc w:val="left"/>
        <w:textAlignment w:val="center"/>
        <w:rPr>
          <w:color w:val="000000"/>
        </w:rPr>
      </w:pPr>
      <w:r>
        <w:rPr>
          <w:rFonts w:ascii="宋体" w:hAnsi="宋体" w:eastAsia="宋体" w:cs="宋体"/>
          <w:color w:val="000000"/>
        </w:rPr>
        <w:t>①只看到事物的量变，没看到事物的质变</w:t>
      </w:r>
    </w:p>
    <w:p w14:paraId="673F9B24">
      <w:pPr>
        <w:spacing w:line="360" w:lineRule="auto"/>
        <w:jc w:val="left"/>
        <w:textAlignment w:val="center"/>
        <w:rPr>
          <w:color w:val="000000"/>
        </w:rPr>
      </w:pPr>
      <w:r>
        <w:rPr>
          <w:rFonts w:ascii="宋体" w:hAnsi="宋体" w:eastAsia="宋体" w:cs="宋体"/>
          <w:color w:val="000000"/>
        </w:rPr>
        <w:t>②只看到事物的表象，没看到事物的本质</w:t>
      </w:r>
    </w:p>
    <w:p w14:paraId="781FC73A">
      <w:pPr>
        <w:spacing w:line="360" w:lineRule="auto"/>
        <w:jc w:val="left"/>
        <w:textAlignment w:val="center"/>
        <w:rPr>
          <w:color w:val="000000"/>
        </w:rPr>
      </w:pPr>
      <w:r>
        <w:rPr>
          <w:rFonts w:ascii="宋体" w:hAnsi="宋体" w:eastAsia="宋体" w:cs="宋体"/>
          <w:color w:val="000000"/>
        </w:rPr>
        <w:t>③只看到事物的实在性，没看到其生成性</w:t>
      </w:r>
    </w:p>
    <w:p w14:paraId="52D131DB">
      <w:pPr>
        <w:spacing w:line="360" w:lineRule="auto"/>
        <w:jc w:val="left"/>
        <w:textAlignment w:val="center"/>
        <w:rPr>
          <w:color w:val="000000"/>
        </w:rPr>
      </w:pPr>
      <w:r>
        <w:rPr>
          <w:rFonts w:ascii="宋体" w:hAnsi="宋体" w:eastAsia="宋体" w:cs="宋体"/>
          <w:color w:val="000000"/>
        </w:rPr>
        <w:t>④只看到事物变化的外因，没看到其内因</w:t>
      </w:r>
    </w:p>
    <w:p w14:paraId="287EB1B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C408407">
      <w:pPr>
        <w:spacing w:line="360" w:lineRule="auto"/>
        <w:jc w:val="left"/>
        <w:textAlignment w:val="center"/>
        <w:rPr>
          <w:color w:val="000000"/>
        </w:rPr>
      </w:pPr>
      <w:r>
        <w:rPr>
          <w:color w:val="000000"/>
        </w:rPr>
        <w:t xml:space="preserve">11. </w:t>
      </w:r>
      <w:r>
        <w:rPr>
          <w:rFonts w:ascii="宋体" w:hAnsi="宋体" w:eastAsia="宋体" w:cs="宋体"/>
          <w:color w:val="000000"/>
        </w:rPr>
        <w:t>2024年是中国加入《专利合作条约》30周年。截至目前，中国已成为提交国际专利申请量最多的国家，获得的专利可在全体缔约国中寻求专利保护。中国还同80多个国家、地区及国际组织建立了知识产权合作关系，推动企业积极融入经济全球化。这体现出中国（   ）</w:t>
      </w:r>
    </w:p>
    <w:p w14:paraId="736081FD">
      <w:pPr>
        <w:spacing w:line="360" w:lineRule="auto"/>
        <w:jc w:val="left"/>
        <w:textAlignment w:val="center"/>
        <w:rPr>
          <w:color w:val="000000"/>
        </w:rPr>
      </w:pPr>
      <w:r>
        <w:rPr>
          <w:rFonts w:ascii="宋体" w:hAnsi="宋体" w:eastAsia="宋体" w:cs="宋体"/>
          <w:color w:val="000000"/>
        </w:rPr>
        <w:t>①促进了专利保护制度在全球范围内的逐步完善</w:t>
      </w:r>
    </w:p>
    <w:p w14:paraId="48B22C47">
      <w:pPr>
        <w:spacing w:line="360" w:lineRule="auto"/>
        <w:jc w:val="left"/>
        <w:textAlignment w:val="center"/>
        <w:rPr>
          <w:color w:val="000000"/>
        </w:rPr>
      </w:pPr>
      <w:r>
        <w:rPr>
          <w:rFonts w:ascii="宋体" w:hAnsi="宋体" w:eastAsia="宋体" w:cs="宋体"/>
          <w:color w:val="000000"/>
        </w:rPr>
        <w:t>②加强知识产权保护为扩大中外合作创造了机遇</w:t>
      </w:r>
    </w:p>
    <w:p w14:paraId="46F222AD">
      <w:pPr>
        <w:spacing w:line="360" w:lineRule="auto"/>
        <w:jc w:val="left"/>
        <w:textAlignment w:val="center"/>
        <w:rPr>
          <w:color w:val="000000"/>
        </w:rPr>
      </w:pPr>
      <w:r>
        <w:rPr>
          <w:rFonts w:ascii="宋体" w:hAnsi="宋体" w:eastAsia="宋体" w:cs="宋体"/>
          <w:color w:val="000000"/>
        </w:rPr>
        <w:t>③借助《专利合作条约》为企业走出去保驾护航</w:t>
      </w:r>
    </w:p>
    <w:p w14:paraId="72E60109">
      <w:pPr>
        <w:spacing w:line="360" w:lineRule="auto"/>
        <w:jc w:val="left"/>
        <w:textAlignment w:val="center"/>
        <w:rPr>
          <w:color w:val="000000"/>
        </w:rPr>
      </w:pPr>
      <w:r>
        <w:rPr>
          <w:rFonts w:ascii="宋体" w:hAnsi="宋体" w:eastAsia="宋体" w:cs="宋体"/>
          <w:color w:val="000000"/>
        </w:rPr>
        <w:t>④成为世界知识产权强国和全球科技创新引领者</w:t>
      </w:r>
    </w:p>
    <w:p w14:paraId="4CF700F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576A807">
      <w:pPr>
        <w:spacing w:line="360" w:lineRule="auto"/>
        <w:jc w:val="left"/>
        <w:textAlignment w:val="center"/>
        <w:rPr>
          <w:color w:val="000000"/>
        </w:rPr>
      </w:pPr>
      <w:r>
        <w:rPr>
          <w:color w:val="000000"/>
        </w:rPr>
        <w:t xml:space="preserve">12. </w:t>
      </w:r>
      <w:r>
        <w:rPr>
          <w:rFonts w:ascii="宋体" w:hAnsi="宋体" w:eastAsia="宋体" w:cs="宋体"/>
          <w:color w:val="000000"/>
        </w:rPr>
        <w:t>联合国水机制是联合国主导的涉水国际组织合作网络。2024年3月22日，联合国水机制发布报告指出，水资源紧张局势正加剧世界范围内的冲突，各国有必要加强国际合作，开展对话并建立相应法律框架，应对水资源冲突问题，由此推断（   ）</w:t>
      </w:r>
    </w:p>
    <w:p w14:paraId="6DAD2C97">
      <w:pPr>
        <w:spacing w:line="360" w:lineRule="auto"/>
        <w:jc w:val="left"/>
        <w:textAlignment w:val="center"/>
        <w:rPr>
          <w:color w:val="000000"/>
        </w:rPr>
      </w:pPr>
      <w:r>
        <w:rPr>
          <w:rFonts w:ascii="宋体" w:hAnsi="宋体" w:eastAsia="宋体" w:cs="宋体"/>
          <w:color w:val="000000"/>
        </w:rPr>
        <w:t>①水资源紧张局势正</w:t>
      </w:r>
      <w:r>
        <w:rPr>
          <w:rFonts w:ascii="宋体" w:hAnsi="宋体" w:eastAsia="宋体" w:cs="宋体"/>
          <w:color w:val="000000"/>
          <w:position w:val="-1"/>
        </w:rPr>
        <w:drawing>
          <wp:inline distT="0" distB="0" distL="114300" distR="114300">
            <wp:extent cx="139700" cy="190500"/>
            <wp:effectExtent l="0" t="0" r="1270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威胁世界和平与发展</w:t>
      </w:r>
    </w:p>
    <w:p w14:paraId="52651B64">
      <w:pPr>
        <w:spacing w:line="360" w:lineRule="auto"/>
        <w:jc w:val="left"/>
        <w:textAlignment w:val="center"/>
        <w:rPr>
          <w:color w:val="000000"/>
        </w:rPr>
      </w:pPr>
      <w:r>
        <w:rPr>
          <w:rFonts w:ascii="宋体" w:hAnsi="宋体" w:eastAsia="宋体" w:cs="宋体"/>
          <w:color w:val="000000"/>
        </w:rPr>
        <w:t>②联合国水机制</w:t>
      </w:r>
      <w:r>
        <w:rPr>
          <w:rFonts w:ascii="宋体" w:hAnsi="宋体" w:eastAsia="宋体" w:cs="宋体"/>
          <w:color w:val="000000"/>
          <w:position w:val="-1"/>
        </w:rPr>
        <w:drawing>
          <wp:inline distT="0" distB="0" distL="114300" distR="114300">
            <wp:extent cx="139700" cy="190500"/>
            <wp:effectExtent l="0" t="0" r="1270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水资源保护方面起主导作用</w:t>
      </w:r>
    </w:p>
    <w:p w14:paraId="616AA683">
      <w:pPr>
        <w:spacing w:line="360" w:lineRule="auto"/>
        <w:jc w:val="left"/>
        <w:textAlignment w:val="center"/>
        <w:rPr>
          <w:color w:val="000000"/>
        </w:rPr>
      </w:pPr>
      <w:r>
        <w:rPr>
          <w:rFonts w:ascii="宋体" w:hAnsi="宋体" w:eastAsia="宋体" w:cs="宋体"/>
          <w:color w:val="000000"/>
        </w:rPr>
        <w:t>③联合国高度关注水资源引发的非传统安全威胁</w:t>
      </w:r>
    </w:p>
    <w:p w14:paraId="0E871129">
      <w:pPr>
        <w:spacing w:line="360" w:lineRule="auto"/>
        <w:jc w:val="left"/>
        <w:textAlignment w:val="center"/>
        <w:rPr>
          <w:color w:val="000000"/>
        </w:rPr>
      </w:pPr>
      <w:r>
        <w:rPr>
          <w:rFonts w:ascii="宋体" w:hAnsi="宋体" w:eastAsia="宋体" w:cs="宋体"/>
          <w:color w:val="000000"/>
        </w:rPr>
        <w:t>④完善涉水国际法律体系是解决水资源问题的关键</w:t>
      </w:r>
    </w:p>
    <w:p w14:paraId="3E5D69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1B0AB6D">
      <w:pPr>
        <w:spacing w:line="360" w:lineRule="auto"/>
        <w:jc w:val="left"/>
        <w:textAlignment w:val="center"/>
        <w:rPr>
          <w:color w:val="000000"/>
        </w:rPr>
      </w:pPr>
      <w:r>
        <w:rPr>
          <w:color w:val="000000"/>
        </w:rPr>
        <w:t xml:space="preserve">13. </w:t>
      </w:r>
      <w:r>
        <w:rPr>
          <w:rFonts w:ascii="宋体" w:hAnsi="宋体" w:eastAsia="宋体" w:cs="宋体"/>
          <w:color w:val="000000"/>
        </w:rPr>
        <w:t>小赵与某公司自愿签订《合作经营合同》。公司聘任小赵为项目经理，每月向其发放工资。小赵遵守公司制度，每天按时打卡。几个月后，小赵在上班途中因交通事故致残，要求给予工伤待遇，遭到公司拒绝。下列说法正确的是（   ）</w:t>
      </w:r>
    </w:p>
    <w:p w14:paraId="6FF1AF98">
      <w:pPr>
        <w:spacing w:line="360" w:lineRule="auto"/>
        <w:jc w:val="left"/>
        <w:textAlignment w:val="center"/>
        <w:rPr>
          <w:color w:val="000000"/>
        </w:rPr>
      </w:pPr>
      <w:r>
        <w:rPr>
          <w:rFonts w:ascii="宋体" w:hAnsi="宋体" w:eastAsia="宋体" w:cs="宋体"/>
          <w:color w:val="000000"/>
        </w:rPr>
        <w:t>①小赵与公司未签订劳动合同，故不应享受工伤待遇</w:t>
      </w:r>
    </w:p>
    <w:p w14:paraId="276509F8">
      <w:pPr>
        <w:spacing w:line="360" w:lineRule="auto"/>
        <w:jc w:val="left"/>
        <w:textAlignment w:val="center"/>
        <w:rPr>
          <w:color w:val="000000"/>
        </w:rPr>
      </w:pPr>
      <w:r>
        <w:rPr>
          <w:rFonts w:ascii="宋体" w:hAnsi="宋体" w:eastAsia="宋体" w:cs="宋体"/>
          <w:color w:val="000000"/>
        </w:rPr>
        <w:t>②若合同没有约定仲裁条款，小赵不能申请劳动仲裁</w:t>
      </w:r>
    </w:p>
    <w:p w14:paraId="70C0816F">
      <w:pPr>
        <w:spacing w:line="360" w:lineRule="auto"/>
        <w:jc w:val="left"/>
        <w:textAlignment w:val="center"/>
        <w:rPr>
          <w:color w:val="000000"/>
        </w:rPr>
      </w:pPr>
      <w:r>
        <w:rPr>
          <w:rFonts w:ascii="宋体" w:hAnsi="宋体" w:eastAsia="宋体" w:cs="宋体"/>
          <w:color w:val="000000"/>
        </w:rPr>
        <w:t>③小赵与公司自愿订立合同并不当然意味着合同有效</w:t>
      </w:r>
    </w:p>
    <w:p w14:paraId="7332FC26">
      <w:pPr>
        <w:spacing w:line="360" w:lineRule="auto"/>
        <w:jc w:val="left"/>
        <w:textAlignment w:val="center"/>
        <w:rPr>
          <w:color w:val="000000"/>
        </w:rPr>
      </w:pPr>
      <w:r>
        <w:rPr>
          <w:rFonts w:ascii="宋体" w:hAnsi="宋体" w:eastAsia="宋体" w:cs="宋体"/>
          <w:color w:val="000000"/>
        </w:rPr>
        <w:t>④小赵与公司签订合作经营合同，但形成了劳动关系</w:t>
      </w:r>
    </w:p>
    <w:p w14:paraId="2872692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4166E5E">
      <w:pPr>
        <w:spacing w:line="360" w:lineRule="auto"/>
        <w:jc w:val="left"/>
        <w:textAlignment w:val="center"/>
        <w:rPr>
          <w:color w:val="000000"/>
        </w:rPr>
      </w:pPr>
      <w:r>
        <w:rPr>
          <w:color w:val="000000"/>
        </w:rPr>
        <w:t xml:space="preserve">14. </w:t>
      </w:r>
      <w:r>
        <w:rPr>
          <w:rFonts w:ascii="宋体" w:hAnsi="宋体" w:eastAsia="宋体" w:cs="宋体"/>
          <w:color w:val="000000"/>
        </w:rPr>
        <w:t>小王（15岁）的摄影作品“紫光大桥”在甲杂志公开发表。小王及其父母同意甲杂志社许可第三方使用该作品。经甲杂志社许可，乙杂志转载了该作品。丙公司未经许可，将该作品作为商标用于产品外包装设计。下列说法正确的是（   ）</w:t>
      </w:r>
    </w:p>
    <w:p w14:paraId="5C1A0D1A">
      <w:pPr>
        <w:spacing w:line="360" w:lineRule="auto"/>
        <w:jc w:val="left"/>
        <w:textAlignment w:val="center"/>
        <w:rPr>
          <w:color w:val="000000"/>
        </w:rPr>
      </w:pPr>
      <w:r>
        <w:rPr>
          <w:rFonts w:ascii="宋体" w:hAnsi="宋体" w:eastAsia="宋体" w:cs="宋体"/>
          <w:color w:val="000000"/>
        </w:rPr>
        <w:t>①甲杂志社与丙公司之间法律关系的客体是智力成果</w:t>
      </w:r>
    </w:p>
    <w:p w14:paraId="289C21C1">
      <w:pPr>
        <w:spacing w:line="360" w:lineRule="auto"/>
        <w:jc w:val="left"/>
        <w:textAlignment w:val="center"/>
        <w:rPr>
          <w:color w:val="000000"/>
        </w:rPr>
      </w:pPr>
      <w:r>
        <w:rPr>
          <w:rFonts w:ascii="宋体" w:hAnsi="宋体" w:eastAsia="宋体" w:cs="宋体"/>
          <w:color w:val="000000"/>
        </w:rPr>
        <w:t>②乙杂志转载该作品的行为属于合理使用</w:t>
      </w:r>
    </w:p>
    <w:p w14:paraId="7F062899">
      <w:pPr>
        <w:spacing w:line="360" w:lineRule="auto"/>
        <w:jc w:val="left"/>
        <w:textAlignment w:val="center"/>
        <w:rPr>
          <w:color w:val="000000"/>
        </w:rPr>
      </w:pPr>
      <w:r>
        <w:rPr>
          <w:rFonts w:ascii="宋体" w:hAnsi="宋体" w:eastAsia="宋体" w:cs="宋体"/>
          <w:color w:val="000000"/>
        </w:rPr>
        <w:t>③丙公司侵犯了小王的著作权和甲杂志社的商标权</w:t>
      </w:r>
    </w:p>
    <w:p w14:paraId="340B500A">
      <w:pPr>
        <w:spacing w:line="360" w:lineRule="auto"/>
        <w:jc w:val="left"/>
        <w:textAlignment w:val="center"/>
        <w:rPr>
          <w:color w:val="000000"/>
        </w:rPr>
      </w:pPr>
      <w:r>
        <w:rPr>
          <w:rFonts w:ascii="宋体" w:hAnsi="宋体" w:eastAsia="宋体" w:cs="宋体"/>
          <w:color w:val="000000"/>
        </w:rPr>
        <w:t>④小王可以在父母的帮助下以原告身份对丙公司提起诉讼</w:t>
      </w:r>
    </w:p>
    <w:p w14:paraId="3941060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8963071">
      <w:pPr>
        <w:spacing w:line="360" w:lineRule="auto"/>
        <w:jc w:val="left"/>
        <w:textAlignment w:val="center"/>
        <w:rPr>
          <w:color w:val="000000"/>
        </w:rPr>
      </w:pPr>
      <w:r>
        <w:rPr>
          <w:color w:val="000000"/>
        </w:rPr>
        <w:t xml:space="preserve">15. </w:t>
      </w:r>
      <w:r>
        <w:rPr>
          <w:rFonts w:ascii="宋体" w:hAnsi="宋体" w:eastAsia="宋体" w:cs="宋体"/>
          <w:color w:val="000000"/>
        </w:rPr>
        <w:t>Vidu是自Sora发布后在全球率先取得重大突破的中国首个原创视频大模型。它不仅能够模拟真实物理世界，生成符合真实物理规律的场景，还能生成真实世界不存在的虚构画面，并具备理解中国元素的能力。由此，下列选项一定为真的是（   ）</w:t>
      </w:r>
    </w:p>
    <w:p w14:paraId="3CB5D253">
      <w:pPr>
        <w:spacing w:line="360" w:lineRule="auto"/>
        <w:jc w:val="left"/>
        <w:textAlignment w:val="center"/>
        <w:rPr>
          <w:color w:val="000000"/>
        </w:rPr>
      </w:pPr>
      <w:r>
        <w:rPr>
          <w:rFonts w:ascii="宋体" w:hAnsi="宋体" w:eastAsia="宋体" w:cs="宋体"/>
          <w:color w:val="000000"/>
        </w:rPr>
        <w:t>①有的视频大模型能模拟真实物理世界</w:t>
      </w:r>
    </w:p>
    <w:p w14:paraId="69E277A5">
      <w:pPr>
        <w:spacing w:line="360" w:lineRule="auto"/>
        <w:jc w:val="left"/>
        <w:textAlignment w:val="center"/>
        <w:rPr>
          <w:color w:val="000000"/>
        </w:rPr>
      </w:pPr>
      <w:r>
        <w:rPr>
          <w:rFonts w:ascii="宋体" w:hAnsi="宋体" w:eastAsia="宋体" w:cs="宋体"/>
          <w:color w:val="000000"/>
        </w:rPr>
        <w:t>②所有视频大模型都能模拟真实物理世界</w:t>
      </w:r>
    </w:p>
    <w:p w14:paraId="64DEB1D0">
      <w:pPr>
        <w:spacing w:line="360" w:lineRule="auto"/>
        <w:jc w:val="left"/>
        <w:textAlignment w:val="center"/>
        <w:rPr>
          <w:color w:val="000000"/>
        </w:rPr>
      </w:pPr>
      <w:r>
        <w:rPr>
          <w:rFonts w:ascii="宋体" w:hAnsi="宋体" w:eastAsia="宋体" w:cs="宋体"/>
          <w:color w:val="000000"/>
        </w:rPr>
        <w:t>③有的视频大模型不能模拟真实物理世界</w:t>
      </w:r>
    </w:p>
    <w:p w14:paraId="2DE6CACD">
      <w:pPr>
        <w:spacing w:line="360" w:lineRule="auto"/>
        <w:jc w:val="left"/>
        <w:textAlignment w:val="center"/>
        <w:rPr>
          <w:color w:val="000000"/>
        </w:rPr>
      </w:pPr>
      <w:r>
        <w:rPr>
          <w:rFonts w:ascii="宋体" w:hAnsi="宋体" w:eastAsia="宋体" w:cs="宋体"/>
          <w:color w:val="000000"/>
        </w:rPr>
        <w:t>④并非所有视频大模型都不能模拟真实物理世界</w:t>
      </w:r>
    </w:p>
    <w:p w14:paraId="7BDBEF7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791B1F6">
      <w:pPr>
        <w:spacing w:line="360" w:lineRule="auto"/>
        <w:jc w:val="left"/>
        <w:textAlignment w:val="center"/>
        <w:rPr>
          <w:color w:val="000000"/>
        </w:rPr>
      </w:pPr>
      <w:r>
        <w:rPr>
          <w:color w:val="000000"/>
        </w:rPr>
        <w:t xml:space="preserve">16. </w:t>
      </w:r>
      <w:r>
        <w:rPr>
          <w:rFonts w:ascii="宋体" w:hAnsi="宋体" w:eastAsia="宋体" w:cs="宋体"/>
          <w:color w:val="000000"/>
        </w:rPr>
        <w:t>为进一步推进劳动教育，某中学开设了丰富多彩的劳动选修课。信息如下：</w:t>
      </w:r>
    </w:p>
    <w:tbl>
      <w:tblPr>
        <w:tblStyle w:val="4"/>
        <w:tblW w:w="5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40"/>
      </w:tblGrid>
      <w:tr w14:paraId="73944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E4FDEC">
            <w:pPr>
              <w:spacing w:line="360" w:lineRule="auto"/>
              <w:jc w:val="left"/>
              <w:textAlignment w:val="center"/>
              <w:rPr>
                <w:color w:val="000000"/>
              </w:rPr>
            </w:pPr>
            <w:r>
              <w:rPr>
                <w:rFonts w:ascii="宋体" w:hAnsi="宋体" w:eastAsia="宋体" w:cs="宋体"/>
                <w:color w:val="000000"/>
              </w:rPr>
              <w:t>★选刺绣课的同学都选了服装课。</w:t>
            </w:r>
          </w:p>
          <w:p w14:paraId="73EE840F">
            <w:pPr>
              <w:spacing w:line="360" w:lineRule="auto"/>
              <w:jc w:val="left"/>
              <w:textAlignment w:val="center"/>
              <w:rPr>
                <w:color w:val="000000"/>
              </w:rPr>
            </w:pPr>
            <w:r>
              <w:rPr>
                <w:rFonts w:ascii="宋体" w:hAnsi="宋体" w:eastAsia="宋体" w:cs="宋体"/>
                <w:color w:val="000000"/>
              </w:rPr>
              <w:t>★有些选烹饪课的同学也选了农业种植课。</w:t>
            </w:r>
          </w:p>
          <w:p w14:paraId="716CC4A2">
            <w:pPr>
              <w:spacing w:line="360" w:lineRule="auto"/>
              <w:jc w:val="left"/>
              <w:textAlignment w:val="center"/>
              <w:rPr>
                <w:color w:val="000000"/>
              </w:rPr>
            </w:pPr>
            <w:r>
              <w:rPr>
                <w:rFonts w:ascii="宋体" w:hAnsi="宋体" w:eastAsia="宋体" w:cs="宋体"/>
                <w:color w:val="000000"/>
              </w:rPr>
              <w:t>★选园艺课的同学没人选烹饪课，但都选了农业种植课。</w:t>
            </w:r>
          </w:p>
          <w:p w14:paraId="058AE7C2">
            <w:pPr>
              <w:spacing w:line="360" w:lineRule="auto"/>
              <w:jc w:val="left"/>
              <w:textAlignment w:val="center"/>
              <w:rPr>
                <w:color w:val="000000"/>
              </w:rPr>
            </w:pPr>
            <w:r>
              <w:rPr>
                <w:rFonts w:ascii="宋体" w:hAnsi="宋体" w:eastAsia="宋体" w:cs="宋体"/>
                <w:color w:val="000000"/>
              </w:rPr>
              <w:t>★选服装课</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同学都没选烹饪课，但少数同学选了园艺课。</w:t>
            </w:r>
          </w:p>
        </w:tc>
      </w:tr>
    </w:tbl>
    <w:p w14:paraId="15578E2A">
      <w:pPr>
        <w:spacing w:line="360" w:lineRule="auto"/>
        <w:jc w:val="left"/>
        <w:textAlignment w:val="center"/>
        <w:rPr>
          <w:color w:val="000000"/>
        </w:rPr>
      </w:pPr>
      <w:r>
        <w:rPr>
          <w:rFonts w:ascii="宋体" w:hAnsi="宋体" w:eastAsia="宋体" w:cs="宋体"/>
          <w:color w:val="000000"/>
        </w:rPr>
        <w:t>根据材料，必然能推出（   ）</w:t>
      </w:r>
    </w:p>
    <w:p w14:paraId="3690BA08">
      <w:pPr>
        <w:spacing w:line="360" w:lineRule="auto"/>
        <w:jc w:val="left"/>
        <w:textAlignment w:val="center"/>
        <w:rPr>
          <w:color w:val="000000"/>
        </w:rPr>
      </w:pPr>
      <w:r>
        <w:rPr>
          <w:rFonts w:ascii="宋体" w:hAnsi="宋体" w:eastAsia="宋体" w:cs="宋体"/>
          <w:color w:val="000000"/>
        </w:rPr>
        <w:t>①有些同学选了农业种植课和园艺课但没选烹饪课</w:t>
      </w:r>
    </w:p>
    <w:p w14:paraId="0EDA683F">
      <w:pPr>
        <w:spacing w:line="360" w:lineRule="auto"/>
        <w:jc w:val="left"/>
        <w:textAlignment w:val="center"/>
        <w:rPr>
          <w:color w:val="000000"/>
        </w:rPr>
      </w:pPr>
      <w:r>
        <w:rPr>
          <w:rFonts w:ascii="宋体" w:hAnsi="宋体" w:eastAsia="宋体" w:cs="宋体"/>
          <w:color w:val="000000"/>
        </w:rPr>
        <w:t>②有些同学选了烹饪课和农业种植课但没选刺绣课</w:t>
      </w:r>
    </w:p>
    <w:p w14:paraId="04BE06B8">
      <w:pPr>
        <w:spacing w:line="360" w:lineRule="auto"/>
        <w:jc w:val="left"/>
        <w:textAlignment w:val="center"/>
        <w:rPr>
          <w:color w:val="000000"/>
        </w:rPr>
      </w:pPr>
      <w:r>
        <w:rPr>
          <w:rFonts w:ascii="宋体" w:hAnsi="宋体" w:eastAsia="宋体" w:cs="宋体"/>
          <w:color w:val="000000"/>
        </w:rPr>
        <w:t>③有些选了园艺课的同学也选了服装课和刺绣课</w:t>
      </w:r>
    </w:p>
    <w:p w14:paraId="51780748">
      <w:pPr>
        <w:spacing w:line="360" w:lineRule="auto"/>
        <w:jc w:val="left"/>
        <w:textAlignment w:val="center"/>
        <w:rPr>
          <w:color w:val="000000"/>
        </w:rPr>
      </w:pPr>
      <w:r>
        <w:rPr>
          <w:rFonts w:ascii="宋体" w:hAnsi="宋体" w:eastAsia="宋体" w:cs="宋体"/>
          <w:color w:val="000000"/>
        </w:rPr>
        <w:t>④有些同学同时选了烹饪课、农业种植课和服装课</w:t>
      </w:r>
    </w:p>
    <w:p w14:paraId="0B49EFA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B06FCF0">
      <w:pPr>
        <w:spacing w:line="360" w:lineRule="auto"/>
        <w:jc w:val="left"/>
        <w:textAlignment w:val="center"/>
        <w:rPr>
          <w:color w:val="000000"/>
        </w:rPr>
      </w:pPr>
      <w:r>
        <w:rPr>
          <w:rFonts w:ascii="宋体" w:hAnsi="宋体" w:eastAsia="宋体" w:cs="宋体"/>
          <w:b/>
          <w:color w:val="000000"/>
          <w:sz w:val="24"/>
        </w:rPr>
        <w:t>二、非选择题：本题共3小题，共52分。</w:t>
      </w:r>
    </w:p>
    <w:p w14:paraId="35145947">
      <w:pPr>
        <w:spacing w:line="360" w:lineRule="auto"/>
        <w:jc w:val="left"/>
        <w:textAlignment w:val="center"/>
        <w:rPr>
          <w:color w:val="000000"/>
        </w:rPr>
      </w:pPr>
      <w:r>
        <w:rPr>
          <w:color w:val="000000"/>
        </w:rPr>
        <w:t xml:space="preserve">17. </w:t>
      </w:r>
      <w:r>
        <w:rPr>
          <w:rFonts w:ascii="宋体" w:hAnsi="宋体" w:eastAsia="宋体" w:cs="宋体"/>
          <w:color w:val="000000"/>
        </w:rPr>
        <w:t>阅读材料，完成下列要求。</w:t>
      </w:r>
    </w:p>
    <w:p w14:paraId="06BCE08B">
      <w:pPr>
        <w:spacing w:line="360" w:lineRule="auto"/>
        <w:ind w:firstLine="420"/>
        <w:jc w:val="left"/>
        <w:textAlignment w:val="center"/>
        <w:rPr>
          <w:color w:val="000000"/>
        </w:rPr>
      </w:pPr>
      <w:r>
        <w:rPr>
          <w:rFonts w:ascii="楷体" w:hAnsi="楷体" w:eastAsia="楷体" w:cs="楷体"/>
          <w:color w:val="000000"/>
        </w:rPr>
        <w:t>习近平强调：“让人民生活幸福是‘国之大者’。”</w:t>
      </w:r>
    </w:p>
    <w:p w14:paraId="08A7EDE8">
      <w:pPr>
        <w:spacing w:line="360" w:lineRule="auto"/>
        <w:ind w:firstLine="420"/>
        <w:jc w:val="left"/>
        <w:textAlignment w:val="center"/>
        <w:rPr>
          <w:color w:val="000000"/>
        </w:rPr>
      </w:pPr>
      <w:r>
        <w:rPr>
          <w:rFonts w:ascii="楷体" w:hAnsi="楷体" w:eastAsia="楷体" w:cs="楷体"/>
          <w:color w:val="000000"/>
        </w:rPr>
        <w:t>2024年2月以来，全国检察机关开展“检护民生”专项行动。某市人民检察院在专项行动中加强与市生态环境局、市场监管局等部门协作，推进行政检察与行政执法监督衔接工作；严厉打击大气污染、盗伐林木等环境资源类犯罪，重点办好电信诈骗等群众反映强烈的案件，加大食品药品安全等领域公益诉讼检察监督力度。</w:t>
      </w:r>
    </w:p>
    <w:p w14:paraId="49533AAD">
      <w:pPr>
        <w:spacing w:line="360" w:lineRule="auto"/>
        <w:ind w:firstLine="420"/>
        <w:jc w:val="left"/>
        <w:textAlignment w:val="center"/>
        <w:rPr>
          <w:color w:val="000000"/>
        </w:rPr>
      </w:pPr>
      <w:r>
        <w:rPr>
          <w:rFonts w:ascii="楷体" w:hAnsi="楷体" w:eastAsia="楷体" w:cs="楷体"/>
          <w:color w:val="000000"/>
        </w:rPr>
        <w:t>该检察院不仅聚焦民生领域热点问题，还紧盯重点人群的急难愁盼，加大支持起诉、司法救助力度。推进全市检察院“一张网”数字化建设，力促解决农民工烦“薪”事，为妇女儿童和困难群众提供“一站式”检察服务；联合街道社区开展释法说理，力促老人赡养问题等民生“小案”和解，实现案结事了人和。</w:t>
      </w:r>
    </w:p>
    <w:p w14:paraId="1C92C8EE">
      <w:pPr>
        <w:spacing w:line="360" w:lineRule="auto"/>
        <w:ind w:firstLine="420"/>
        <w:jc w:val="left"/>
        <w:textAlignment w:val="center"/>
        <w:rPr>
          <w:color w:val="000000"/>
        </w:rPr>
      </w:pPr>
      <w:r>
        <w:rPr>
          <w:rFonts w:ascii="楷体" w:hAnsi="楷体" w:eastAsia="楷体" w:cs="楷体"/>
          <w:color w:val="000000"/>
        </w:rPr>
        <w:t>检察机关将继续以高质效办案书写“检护民生”答卷，为守护人民美好生活贡献检察力量。</w:t>
      </w:r>
    </w:p>
    <w:p w14:paraId="3AD45341">
      <w:pPr>
        <w:spacing w:line="360" w:lineRule="auto"/>
        <w:jc w:val="left"/>
        <w:textAlignment w:val="center"/>
        <w:rPr>
          <w:color w:val="000000"/>
        </w:rPr>
      </w:pPr>
      <w:r>
        <w:rPr>
          <w:rFonts w:ascii="宋体" w:hAnsi="宋体" w:eastAsia="宋体" w:cs="宋体"/>
          <w:color w:val="000000"/>
        </w:rPr>
        <w:t>结合材料，运用政治与法治知识，说明该市人民检察院开展“检护民生”专项行动的意义。</w:t>
      </w:r>
    </w:p>
    <w:p w14:paraId="3FB36BE7">
      <w:pPr>
        <w:spacing w:line="360" w:lineRule="auto"/>
        <w:jc w:val="left"/>
        <w:textAlignment w:val="center"/>
        <w:rPr>
          <w:color w:val="000000"/>
        </w:rPr>
      </w:pPr>
      <w:r>
        <w:rPr>
          <w:color w:val="000000"/>
        </w:rPr>
        <w:t xml:space="preserve">18. </w:t>
      </w:r>
      <w:r>
        <w:rPr>
          <w:rFonts w:ascii="宋体" w:hAnsi="宋体" w:eastAsia="宋体" w:cs="宋体"/>
          <w:color w:val="000000"/>
        </w:rPr>
        <w:t>阅读材料，完成下列要求。</w:t>
      </w:r>
    </w:p>
    <w:p w14:paraId="42BF8052">
      <w:pPr>
        <w:spacing w:line="360" w:lineRule="auto"/>
        <w:ind w:firstLine="420"/>
        <w:jc w:val="left"/>
        <w:textAlignment w:val="center"/>
        <w:rPr>
          <w:color w:val="000000"/>
        </w:rPr>
      </w:pPr>
      <w:r>
        <w:rPr>
          <w:rFonts w:ascii="楷体" w:hAnsi="楷体" w:eastAsia="楷体" w:cs="楷体"/>
          <w:color w:val="000000"/>
        </w:rPr>
        <w:t>某商场举办“消费品以旧换新”活动期间，在一楼大厅悬挂“置换商品一旦售出，概不退换”的横幅。甲在该商场置换了一台节能电冰箱。经专业机构检测，该冰箱耗电量与产品说明书不符，甲要求商场换货。在与该商场工作人员乙协商过程中，甲由于情绪激动，出现心脏骤停现象。乙立即拨打120急救电话，并对甲实施心肺复苏。甲恢复意识后，被送往医院进行治疗。诊断书载明：有心脏病既往史，双侧多发肋骨骨折。甲住院8天，共花费治疗费、护理费等五千元。甲认为乙救助过程中造成其人身损害，遂将商场与乙诉至人民法院。诉讼请求为：（1）商场更换电冰箱；（2）乙赔偿相关费用五千元。</w:t>
      </w:r>
    </w:p>
    <w:tbl>
      <w:tblPr>
        <w:tblStyle w:val="4"/>
        <w:tblW w:w="4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85"/>
      </w:tblGrid>
      <w:tr w14:paraId="6BD41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5BE74C">
            <w:pPr>
              <w:spacing w:line="360" w:lineRule="auto"/>
              <w:jc w:val="left"/>
              <w:textAlignment w:val="center"/>
              <w:rPr>
                <w:color w:val="000000"/>
              </w:rPr>
            </w:pPr>
            <w:r>
              <w:rPr>
                <w:rFonts w:ascii="楷体" w:hAnsi="楷体" w:eastAsia="楷体" w:cs="楷体"/>
                <w:color w:val="000000"/>
              </w:rPr>
              <w:t>《中华人民共和国民法典》第一百八十四条：“因自愿实施紧急救助行为造成受助人损害的，救助人不承担民事责任。”</w:t>
            </w:r>
          </w:p>
        </w:tc>
      </w:tr>
    </w:tbl>
    <w:p w14:paraId="05793E8A">
      <w:pPr>
        <w:spacing w:line="360" w:lineRule="auto"/>
        <w:jc w:val="left"/>
        <w:textAlignment w:val="center"/>
        <w:rPr>
          <w:color w:val="000000"/>
        </w:rPr>
      </w:pPr>
      <w:r>
        <w:rPr>
          <w:rFonts w:ascii="宋体" w:hAnsi="宋体" w:eastAsia="宋体" w:cs="宋体"/>
          <w:color w:val="000000"/>
        </w:rPr>
        <w:t>结合材料，运用法律与生活知识，判断甲的诉讼请求是否会获得人民法院的支持，并说明理由。</w:t>
      </w:r>
    </w:p>
    <w:p w14:paraId="664B0229">
      <w:pPr>
        <w:spacing w:line="360" w:lineRule="auto"/>
        <w:jc w:val="left"/>
        <w:textAlignment w:val="center"/>
        <w:rPr>
          <w:color w:val="000000"/>
        </w:rPr>
      </w:pPr>
      <w:r>
        <w:rPr>
          <w:color w:val="000000"/>
        </w:rPr>
        <w:t xml:space="preserve">19. </w:t>
      </w:r>
      <w:r>
        <w:rPr>
          <w:rFonts w:ascii="宋体" w:hAnsi="宋体" w:eastAsia="宋体" w:cs="宋体"/>
          <w:color w:val="000000"/>
        </w:rPr>
        <w:t>阅读材料，完成下列要求。</w:t>
      </w:r>
    </w:p>
    <w:p w14:paraId="7E76B500">
      <w:pPr>
        <w:spacing w:line="360" w:lineRule="auto"/>
        <w:ind w:firstLine="420"/>
        <w:jc w:val="left"/>
        <w:textAlignment w:val="center"/>
        <w:rPr>
          <w:color w:val="000000"/>
        </w:rPr>
      </w:pPr>
      <w:r>
        <w:rPr>
          <w:rFonts w:ascii="楷体" w:hAnsi="楷体" w:eastAsia="楷体" w:cs="楷体"/>
          <w:color w:val="000000"/>
        </w:rPr>
        <w:t>我国东北地区处于世界“冰雪黄金纬度带”，是习近平“冰天雪地也是金山银山”发展理念践行地。对于东北地区来说，以“冰”为媒的发展之路，既是联通内外的开放之路，也是中华文化的传承之路。</w:t>
      </w:r>
    </w:p>
    <w:p w14:paraId="16DFED33">
      <w:pPr>
        <w:spacing w:line="360" w:lineRule="auto"/>
        <w:ind w:firstLine="420"/>
        <w:jc w:val="left"/>
        <w:textAlignment w:val="center"/>
        <w:rPr>
          <w:color w:val="000000"/>
        </w:rPr>
      </w:pPr>
      <w:r>
        <w:rPr>
          <w:rFonts w:ascii="楷体" w:hAnsi="楷体" w:eastAsia="楷体" w:cs="楷体"/>
          <w:color w:val="000000"/>
        </w:rPr>
        <w:t>材料一  “冰上丝绸之路”是指穿越北极圈，连接北美、东亚和西欧三大经济中心的海运航道，其建设以北极东北航道为核心（下图），该航道每年会根据北极冰情进行调整。</w:t>
      </w:r>
    </w:p>
    <w:p w14:paraId="07ECB02C">
      <w:pPr>
        <w:spacing w:line="360" w:lineRule="auto"/>
        <w:ind w:firstLine="420"/>
        <w:jc w:val="left"/>
        <w:textAlignment w:val="center"/>
        <w:rPr>
          <w:color w:val="000000"/>
        </w:rPr>
      </w:pPr>
      <w:r>
        <w:rPr>
          <w:rFonts w:ascii="楷体" w:hAnsi="楷体" w:eastAsia="楷体" w:cs="楷体"/>
          <w:color w:val="000000"/>
        </w:rPr>
        <w:t>在“冰上丝绸之路”上，亚马尔LNG（液化天然气）项目和北极LNG2项目是两颗能源“明珠”。中国企业先后承建了亚马尔LNG项目140多个模块中的85%和北极LNG2项目第一条生产线的全部模块。2022年，亚马尔LNG项目实际产出超过2100万吨。2023年，北极LNG2项目成功投产。</w:t>
      </w:r>
    </w:p>
    <w:p w14:paraId="03E2144C">
      <w:pPr>
        <w:spacing w:line="360" w:lineRule="auto"/>
        <w:ind w:firstLine="420"/>
        <w:jc w:val="left"/>
        <w:textAlignment w:val="center"/>
        <w:rPr>
          <w:color w:val="000000"/>
        </w:rPr>
      </w:pPr>
      <w:r>
        <w:rPr>
          <w:rFonts w:ascii="楷体" w:hAnsi="楷体" w:eastAsia="楷体" w:cs="楷体"/>
          <w:color w:val="000000"/>
        </w:rPr>
        <w:t>2023年8月至9月，俄罗斯国内最大的天然气企业首次通过北极东北航道向中国运送液化天然气，标志着“冰上丝绸之路”建设取得重要进展。中俄两国的持续努力使北极的航道资源和能源资源充分结合起来，为全球各国在北极的能源开发创造了机遇。</w:t>
      </w:r>
    </w:p>
    <w:p w14:paraId="56D4D6FD">
      <w:pPr>
        <w:spacing w:line="360" w:lineRule="auto"/>
        <w:jc w:val="left"/>
        <w:textAlignment w:val="center"/>
        <w:rPr>
          <w:color w:val="000000"/>
        </w:rPr>
      </w:pPr>
      <w:r>
        <w:rPr>
          <w:color w:val="000000"/>
        </w:rPr>
        <w:drawing>
          <wp:inline distT="0" distB="0" distL="114300" distR="114300">
            <wp:extent cx="2781300" cy="28289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781300" cy="2828925"/>
                    </a:xfrm>
                    <a:prstGeom prst="rect">
                      <a:avLst/>
                    </a:prstGeom>
                  </pic:spPr>
                </pic:pic>
              </a:graphicData>
            </a:graphic>
          </wp:inline>
        </w:drawing>
      </w:r>
    </w:p>
    <w:p w14:paraId="240E07F4">
      <w:pPr>
        <w:spacing w:line="360" w:lineRule="auto"/>
        <w:jc w:val="left"/>
        <w:textAlignment w:val="center"/>
        <w:rPr>
          <w:color w:val="000000"/>
        </w:rPr>
      </w:pPr>
      <w:r>
        <w:rPr>
          <w:color w:val="000000"/>
        </w:rPr>
        <w:t>（1）</w:t>
      </w:r>
      <w:r>
        <w:rPr>
          <w:rFonts w:ascii="宋体" w:hAnsi="宋体" w:eastAsia="宋体" w:cs="宋体"/>
          <w:color w:val="000000"/>
        </w:rPr>
        <w:t>结合材料一，运用经济与社会、当代国际政治与经济知识，分析中国积极参与“冰上丝绸之路”建设的驱动力。</w:t>
      </w:r>
    </w:p>
    <w:p w14:paraId="2F0B9EA9">
      <w:pPr>
        <w:spacing w:line="360" w:lineRule="auto"/>
        <w:ind w:firstLine="420"/>
        <w:jc w:val="left"/>
        <w:textAlignment w:val="center"/>
        <w:rPr>
          <w:color w:val="000000"/>
        </w:rPr>
      </w:pPr>
      <w:r>
        <w:rPr>
          <w:rFonts w:ascii="楷体" w:hAnsi="楷体" w:eastAsia="楷体" w:cs="楷体"/>
          <w:color w:val="000000"/>
        </w:rPr>
        <w:t>材料二  文化跨越时空，历久弥新。冰上龙舟运动是起源于我国南方水乡民俗体育项目“龙舟竞渡”的新兴运动形式。作为一项强调团队合作、追求速度的竞技性体育运动，它要求舵手、鼓手和多位划手各司其职、紧密配合。这种“同舟共济、团结协作”的龙舟精神，投射出强大的内聚力、向心力和感召力。</w:t>
      </w:r>
    </w:p>
    <w:p w14:paraId="54975A41">
      <w:pPr>
        <w:spacing w:line="360" w:lineRule="auto"/>
        <w:ind w:firstLine="420"/>
        <w:jc w:val="left"/>
        <w:textAlignment w:val="center"/>
        <w:rPr>
          <w:color w:val="000000"/>
        </w:rPr>
      </w:pPr>
      <w:r>
        <w:rPr>
          <w:rFonts w:ascii="楷体" w:hAnsi="楷体" w:eastAsia="楷体" w:cs="楷体"/>
          <w:color w:val="000000"/>
        </w:rPr>
        <w:t>冰上龙舟由我国北方民间常见的冬季娱乐工具——冰车升级改造而来。冰车最初只可坐一人，而将多个冰车串联起来加以装饰，就成为冰上龙舟的雏形。受此启发，东北人在传统龙舟的底部安装两组冰刀，并在实际应用中不断改进制作技术和工艺，创制了今天使用的冰上龙舟。作为传统龙舟文化与现代冰雪运动的结合，冰上龙舟运动继承了“龙舟竞渡”的一些特性，又实现了比赛场景的转换，且更加富有速度与激情。随着多级别、多场次赛事的举办，该运动不仅在国内收获了大批拥趸，还吸引了俄罗斯、芬兰、德国等87个国家和地区冰上运动爱好者的关注与积极参与。借助这项运动的普及，冰上龙舟正载着中华优秀传统文化“划”出东北，走向世界。</w:t>
      </w:r>
    </w:p>
    <w:p w14:paraId="0CFE5EBF">
      <w:pPr>
        <w:spacing w:line="360" w:lineRule="auto"/>
        <w:jc w:val="left"/>
        <w:textAlignment w:val="center"/>
        <w:rPr>
          <w:color w:val="000000"/>
        </w:rPr>
      </w:pPr>
      <w:r>
        <w:rPr>
          <w:color w:val="000000"/>
        </w:rPr>
        <w:t>（2）</w:t>
      </w:r>
      <w:r>
        <w:rPr>
          <w:rFonts w:ascii="宋体" w:hAnsi="宋体" w:eastAsia="宋体" w:cs="宋体"/>
          <w:color w:val="000000"/>
        </w:rPr>
        <w:t>结合材料二，运用整体与部分关系原理，阐明我们在冰上龙舟赛中坚持社会主义的集体主义价值观的必要性。</w:t>
      </w:r>
    </w:p>
    <w:p w14:paraId="79AF0136">
      <w:pPr>
        <w:spacing w:line="360" w:lineRule="auto"/>
        <w:jc w:val="left"/>
        <w:textAlignment w:val="center"/>
        <w:rPr>
          <w:color w:val="000000"/>
        </w:rPr>
      </w:pPr>
      <w:r>
        <w:rPr>
          <w:color w:val="000000"/>
        </w:rPr>
        <w:t>（3）</w:t>
      </w:r>
      <w:r>
        <w:rPr>
          <w:rFonts w:ascii="宋体" w:hAnsi="宋体" w:eastAsia="宋体" w:cs="宋体"/>
          <w:color w:val="000000"/>
        </w:rPr>
        <w:t>结合材料二，运用逻辑与思维知识，分析冰上龙舟运动发展历程中所反映出的辩证否定观。</w:t>
      </w:r>
    </w:p>
    <w:p w14:paraId="5A2A4956">
      <w:pPr>
        <w:spacing w:line="360" w:lineRule="auto"/>
        <w:jc w:val="left"/>
        <w:textAlignment w:val="center"/>
        <w:rPr>
          <w:color w:val="000000"/>
        </w:rPr>
      </w:pPr>
      <w:r>
        <w:rPr>
          <w:color w:val="000000"/>
        </w:rPr>
        <w:t>（4）</w:t>
      </w:r>
      <w:r>
        <w:rPr>
          <w:rFonts w:ascii="宋体" w:hAnsi="宋体" w:eastAsia="宋体" w:cs="宋体"/>
          <w:color w:val="000000"/>
        </w:rPr>
        <w:t>“古代中国的蚕丝织物，令当时的欧洲人特别钟爱，由此带来了丝绸之路的长期繁荣。”古往今来，瓷器、太极拳、京剧、汉服……都承载着中华优秀传统文化走向了世界。运用文化知识，任选一文化载体（龙舟除外）写一段推介词，展示中华优秀传统文化的魅力。</w:t>
      </w:r>
    </w:p>
    <w:p w14:paraId="75EE4989">
      <w:pPr>
        <w:spacing w:line="360" w:lineRule="auto"/>
        <w:jc w:val="left"/>
        <w:textAlignment w:val="center"/>
        <w:rPr>
          <w:color w:val="000000"/>
        </w:rPr>
      </w:pPr>
      <w:r>
        <w:rPr>
          <w:rFonts w:ascii="宋体" w:hAnsi="宋体" w:eastAsia="宋体" w:cs="宋体"/>
          <w:color w:val="000000"/>
        </w:rPr>
        <w:t>要求：主题鲜明，表述清晰，逻辑严谨，字数150-200字。</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68CD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A946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EA3C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C540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4770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D7D9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kOGZkOWU2NWZhMzZhNDZmMjRmYjAyYjQ0ZmMyNjg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342E65"/>
    <w:rsid w:val="2A990FC3"/>
    <w:rsid w:val="35112116"/>
    <w:rsid w:val="38274566"/>
    <w:rsid w:val="760634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8</Pages>
  <Words>5732</Words>
  <Characters>5987</Characters>
  <Lines>0</Lines>
  <Paragraphs>0</Paragraphs>
  <TotalTime>0</TotalTime>
  <ScaleCrop>false</ScaleCrop>
  <LinksUpToDate>false</LinksUpToDate>
  <CharactersWithSpaces>6170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2026-02-10T06:38:00Z</dcterms:created>
  <dc:creator>Administrator</dc:creator>
  <cp:lastModifiedBy>上帝掷骰子吗</cp:lastModifiedBy>
  <dcterms:modified xsi:type="dcterms:W3CDTF">2026-02-10T06:56:20Z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32154429554646B68FBD483C70ABCA6C_12</vt:lpwstr>
  </property>
</Properties>
</file>