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FDBB35">
      <w:pPr>
        <w:widowControl w:val="0"/>
        <w:spacing w:before="0" w:after="0" w:line="360" w:lineRule="auto"/>
        <w:jc w:val="center"/>
        <w:rPr>
          <w:sz w:val="32"/>
          <w:szCs w:val="32"/>
        </w:rPr>
      </w:pPr>
      <w:r>
        <w:rPr>
          <w:strike w:val="0"/>
          <w:sz w:val="32"/>
          <w:szCs w:val="32"/>
          <w:u w:val="none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11988800</wp:posOffset>
            </wp:positionH>
            <wp:positionV relativeFrom="topMargin">
              <wp:posOffset>11442700</wp:posOffset>
            </wp:positionV>
            <wp:extent cx="371475" cy="266700"/>
            <wp:effectExtent l="0" t="0" r="9525" b="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bCs/>
          <w:sz w:val="32"/>
          <w:szCs w:val="32"/>
        </w:rPr>
        <w:t>2024年普通高中学业水平选择性考试（重庆卷）</w:t>
      </w:r>
    </w:p>
    <w:p w14:paraId="39D49B63">
      <w:pPr>
        <w:widowControl w:val="0"/>
        <w:spacing w:before="0" w:after="0" w:line="360" w:lineRule="auto"/>
        <w:jc w:val="center"/>
        <w:rPr>
          <w:sz w:val="32"/>
          <w:szCs w:val="32"/>
        </w:rPr>
      </w:pPr>
      <w:r>
        <w:rPr>
          <w:rFonts w:ascii="宋体" w:hAnsi="宋体" w:eastAsia="宋体" w:cs="宋体"/>
          <w:b/>
          <w:bCs/>
          <w:sz w:val="32"/>
          <w:szCs w:val="32"/>
        </w:rPr>
        <w:t>思想政治</w:t>
      </w:r>
    </w:p>
    <w:p w14:paraId="7527709A">
      <w:pPr>
        <w:widowControl w:val="0"/>
        <w:spacing w:before="0" w:after="0" w:line="360" w:lineRule="auto"/>
        <w:jc w:val="center"/>
      </w:pPr>
      <w:r>
        <w:rPr>
          <w:rFonts w:ascii="宋体" w:hAnsi="宋体" w:eastAsia="宋体" w:cs="宋体"/>
          <w:b/>
          <w:bCs/>
        </w:rPr>
        <w:t>本试卷满分100分，考试时间75分钟</w:t>
      </w:r>
    </w:p>
    <w:p w14:paraId="5CCBEF1D">
      <w:pPr>
        <w:widowControl w:val="0"/>
        <w:spacing w:before="0" w:after="0" w:line="360" w:lineRule="auto"/>
      </w:pPr>
      <w:r>
        <w:rPr>
          <w:rFonts w:ascii="宋体" w:hAnsi="宋体" w:eastAsia="宋体" w:cs="宋体"/>
          <w:b/>
          <w:bCs/>
        </w:rPr>
        <w:t>一、选择题（本大题共16小题，每小题3分，共48分。在每小题给出的四个选项中，只有一项是最符合题目要求的）。</w:t>
      </w:r>
    </w:p>
    <w:p w14:paraId="65602E3C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实事求是是马克思主义的精髓和灵魂，是中国共产党的思想路线，也是党的基本思想方法、工作方法和领导方法。阅读材料，完成下面小题。</w:t>
      </w:r>
    </w:p>
    <w:p w14:paraId="0532E062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1. </w:t>
      </w:r>
      <w:r>
        <w:rPr>
          <w:rFonts w:ascii="宋体" w:hAnsi="宋体" w:eastAsia="宋体" w:cs="宋体"/>
          <w:sz w:val="21"/>
          <w:szCs w:val="21"/>
        </w:rPr>
        <w:t>东汉史学家班固在《汉书》中称赞河间献王刘德“修学好古，实事求是”；唐代学者颜师古将“实事求是”注为“务得事实，每求真是也”；清代学者阮元说：“余之说经，推明古训，实事求是而已，非敢立异也。”下列说法正确的是（   ）</w:t>
      </w:r>
    </w:p>
    <w:p w14:paraId="525CB72C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①作为一种治学态度和治学方法，“实事求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3350" cy="17145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”在中国源远流长</w:t>
      </w:r>
    </w:p>
    <w:p w14:paraId="4E2DF3D9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②弘扬传统文化中“实事求是”精神，需要“推陈出新，革故鼎新”</w:t>
      </w:r>
    </w:p>
    <w:p w14:paraId="3796525E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③倡导“实事求是”的中华传统文化，是中国近代科学兴起的基础</w:t>
      </w:r>
    </w:p>
    <w:p w14:paraId="4232ECB0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④中华传统文化蕴含的“实事求是”思想，具有超越时代条件的特质</w:t>
      </w:r>
    </w:p>
    <w:p w14:paraId="67B72ADE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①②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①④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②③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③④</w:t>
      </w:r>
    </w:p>
    <w:p w14:paraId="33C3D9EC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2. </w:t>
      </w:r>
      <w:r>
        <w:rPr>
          <w:rFonts w:ascii="宋体" w:hAnsi="宋体" w:eastAsia="宋体" w:cs="宋体"/>
          <w:sz w:val="21"/>
          <w:szCs w:val="21"/>
        </w:rPr>
        <w:t>马克思、恩格斯没有直接用过“实事求是”这个词汇。1941年，毛泽东在《改造我们的学习》一文中，首次用“实事求是”一词生动概括了马克思主义世界观和方法论，并在领导中国革命和建设过程中，实际上将其确立为党的思想路线。由此可知（   ）</w:t>
      </w:r>
    </w:p>
    <w:p w14:paraId="7D0FB3BC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①马克思主义理论中原本没有“实事求是”这一思想内涵</w:t>
      </w:r>
    </w:p>
    <w:p w14:paraId="7C5A542F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②实事求是是一切真正的马克思主义者必须坚持的正确认识路线</w:t>
      </w:r>
    </w:p>
    <w:p w14:paraId="4E04F53E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③毛泽东倡导的“实事求是”只适用于中国革命和社会主义建设特定时期</w:t>
      </w:r>
    </w:p>
    <w:p w14:paraId="33EA8D61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④毛泽东将“实事求是”确立为党的思想路线，是对党的建设理论的丰富发展</w:t>
      </w:r>
    </w:p>
    <w:p w14:paraId="2A8C697B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①③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①④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②③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②④</w:t>
      </w:r>
    </w:p>
    <w:p w14:paraId="5E7C50E1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3. </w:t>
      </w:r>
      <w:r>
        <w:rPr>
          <w:rFonts w:ascii="宋体" w:hAnsi="宋体" w:eastAsia="宋体" w:cs="宋体"/>
          <w:sz w:val="21"/>
          <w:szCs w:val="21"/>
        </w:rPr>
        <w:t>习近平指出，“实践反复证明，坚持实事求是，就能兴党兴国；违背实事求是，就会误党误国。”对此，说法正确的是（   ）</w:t>
      </w:r>
    </w:p>
    <w:p w14:paraId="04C397B1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①坚持实事求是，是兴党兴国的充分必要条件</w:t>
      </w:r>
    </w:p>
    <w:p w14:paraId="34CA24A7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②坚持实事求是就是坚持唯物主义，违背实事求是就会陷入形而上学</w:t>
      </w:r>
    </w:p>
    <w:p w14:paraId="5931168B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③对坚持实事求是与兴党兴国关系的规律性认识，根源于对经验教训的归纳推理</w:t>
      </w:r>
    </w:p>
    <w:p w14:paraId="55F03FD6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④对治党兴国历史经验教训的归纳推理，运用了求同求异并用法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013" name="图片 100013" descr="page number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page number 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4DEA45">
      <w:p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39EED554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①②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①④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②③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③④</w:t>
      </w:r>
    </w:p>
    <w:p w14:paraId="30E572B5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4. </w:t>
      </w:r>
      <w:r>
        <w:rPr>
          <w:rFonts w:ascii="宋体" w:hAnsi="宋体" w:eastAsia="宋体" w:cs="宋体"/>
          <w:sz w:val="21"/>
          <w:szCs w:val="21"/>
        </w:rPr>
        <w:t>重庆市整治形式主义，既做减法，也做加法。减法是减掉形式主义的桎梏，让基层干部从繁文缛节、文山会海、迎来送往中解脱出来。加法是用数字技术赋能政府，以“一张表”简化数据填报、“一平台”优化系统操作、“一件事”强化办事效率，推动政务服务提质增效。由此可见（   ）</w:t>
      </w:r>
    </w:p>
    <w:p w14:paraId="30356987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①整治形式主义的效果取决于智能高效政府建设成效</w:t>
      </w:r>
    </w:p>
    <w:p w14:paraId="560A17DE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②做减法应坚持实事求是，明晰且落实基层政府职责</w:t>
      </w:r>
    </w:p>
    <w:p w14:paraId="121FE0AE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③做加法是政府通过数字技术，用“算力”解放“人力”</w:t>
      </w:r>
    </w:p>
    <w:p w14:paraId="18DC45FE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④做减法和做加法目的是确保政府权力在法治框架内运行</w:t>
      </w:r>
    </w:p>
    <w:p w14:paraId="1CC38B68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①③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①④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②③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②④</w:t>
      </w:r>
    </w:p>
    <w:p w14:paraId="558164B1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5. </w:t>
      </w:r>
      <w:r>
        <w:rPr>
          <w:rFonts w:ascii="宋体" w:hAnsi="宋体" w:eastAsia="宋体" w:cs="宋体"/>
          <w:sz w:val="21"/>
          <w:szCs w:val="21"/>
        </w:rPr>
        <w:t>习近平强调，在五千多年中华文明深厚基础上开辟和发展中国特色社会主义，把马克思主义基本原理同中国具体实际、同中华优秀传统文化相结合是必由之路。马克思主义中国化时代化这个重大命题本身就决定，我们决不能抛弃马克思主义这个魂脉，决不能抛弃中华优秀传统文化这个根脉。下列说法正确的是（   ）</w:t>
      </w:r>
    </w:p>
    <w:p w14:paraId="249698F0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①坚守马克思主义魂脉和中华优秀传统文化根脉，必须不断推进“两个结合”</w:t>
      </w:r>
    </w:p>
    <w:p w14:paraId="1C22F48B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②“两个结合”强调马克思主义与中华优秀传统文化在立场观点方法上的一致性</w:t>
      </w:r>
    </w:p>
    <w:p w14:paraId="2D47B706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③“第二个结合”是中国共产党跳出治乱兴衰历史周期率的第二个答案</w:t>
      </w:r>
    </w:p>
    <w:p w14:paraId="04C29F1B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④“第二个结合”使中国特色社会主义具有深远历史纵深和深厚文化根基</w:t>
      </w:r>
    </w:p>
    <w:p w14:paraId="0FF6275B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①②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①④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②③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③④</w:t>
      </w:r>
    </w:p>
    <w:p w14:paraId="7B1FF3B2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6. </w:t>
      </w:r>
      <w:r>
        <w:rPr>
          <w:rFonts w:ascii="宋体" w:hAnsi="宋体" w:eastAsia="宋体" w:cs="宋体"/>
          <w:sz w:val="21"/>
          <w:szCs w:val="21"/>
        </w:rPr>
        <w:t>从产品出海到品牌出海再到全链生态出海，我国企业出海不断升级、亮点纷呈，下表简要展示了我国企业出海进程。材料表明（   ）</w:t>
      </w:r>
    </w:p>
    <w:tbl>
      <w:tblPr>
        <w:tblStyle w:val="4"/>
        <w:tblW w:w="8325" w:type="dxa"/>
        <w:tblInd w:w="12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119"/>
        <w:gridCol w:w="6206"/>
      </w:tblGrid>
      <w:tr w14:paraId="71D0290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115" w:type="dxa"/>
            <w:tcBorders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55BAE4E8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20世纪80年代</w:t>
            </w:r>
          </w:p>
        </w:tc>
        <w:tc>
          <w:tcPr>
            <w:tcW w:w="6195" w:type="dxa"/>
            <w:tcBorders>
              <w:left w:val="single" w:color="000000" w:sz="6" w:space="0"/>
              <w:bottom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5BA128C4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借助劳动力成本优势发展加工贸易，成衣、玩具等轻工产品出海</w:t>
            </w:r>
          </w:p>
        </w:tc>
      </w:tr>
      <w:tr w14:paraId="6741505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115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493F4AEC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2001年加入WTO</w:t>
            </w:r>
          </w:p>
        </w:tc>
        <w:tc>
          <w:tcPr>
            <w:tcW w:w="61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485AF5AC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出海产品结构升级，服装、家具、家电“老三样”成为出口主力</w:t>
            </w:r>
          </w:p>
        </w:tc>
      </w:tr>
      <w:tr w14:paraId="6BD472E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115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67CE8064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2013年“一带一路”倡议</w:t>
            </w:r>
          </w:p>
        </w:tc>
        <w:tc>
          <w:tcPr>
            <w:tcW w:w="61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0B083938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零售、时尚、电子企业加速全球布局，跨境电商崛起助推品牌出海</w:t>
            </w:r>
          </w:p>
        </w:tc>
      </w:tr>
      <w:tr w14:paraId="62DBA8B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115" w:type="dxa"/>
            <w:tcBorders>
              <w:top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0EADEE60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2022年以来高水平对外开放新阶段</w:t>
            </w:r>
          </w:p>
        </w:tc>
        <w:tc>
          <w:tcPr>
            <w:tcW w:w="6195" w:type="dxa"/>
            <w:tcBorders>
              <w:top w:val="single" w:color="000000" w:sz="6" w:space="0"/>
              <w:lef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299F0D50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新能源车、锂电池、太阳能电池“新三样”畅销海外，产品、技术、人才、管理全链生态出海</w:t>
            </w:r>
          </w:p>
        </w:tc>
      </w:tr>
    </w:tbl>
    <w:p w14:paraId="73620291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①我国对外开放由吸引外资转向对外投资</w:t>
      </w:r>
    </w:p>
    <w:p w14:paraId="2A041811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②我国产业比较优势变迁推动了企业出海升级</w:t>
      </w:r>
    </w:p>
    <w:p w14:paraId="63EBDA21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③我国企业出海升级减少了进口国的贸易利得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027" name="图片 100027" descr="page number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page number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CB4D2B">
      <w:pPr>
        <w:sectPr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6C837C5A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④“新三样”出海顺应了全球应对气候变化的市场需求</w:t>
      </w:r>
    </w:p>
    <w:p w14:paraId="53D9B495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①③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①④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②③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②④</w:t>
      </w:r>
    </w:p>
    <w:p w14:paraId="3D51987D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7. </w:t>
      </w:r>
      <w:r>
        <w:rPr>
          <w:rFonts w:ascii="宋体" w:hAnsi="宋体" w:eastAsia="宋体" w:cs="宋体"/>
          <w:sz w:val="21"/>
          <w:szCs w:val="21"/>
        </w:rPr>
        <w:t>ESG关注企业的环保责任（Environmental）、社会责任（Social）、治理绩效（Governance），而非单一的财务绩效，已成为世界各国日益重视的投资新理念。下图绘制了企业ESG投入与经营效益间的关系随时间变化的曲线。由此可知（   ）</w:t>
      </w:r>
    </w:p>
    <w:p w14:paraId="13DE8517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638425" cy="1381125"/>
            <wp:effectExtent l="0" t="0" r="0" b="8890"/>
            <wp:docPr id="100041" name="图片 10004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638425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5A760B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①ESG投入越多，企业的经营效益越好</w:t>
      </w:r>
    </w:p>
    <w:p w14:paraId="07461F66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②长期的ESG投入能够给企业带来品牌溢价</w:t>
      </w:r>
    </w:p>
    <w:p w14:paraId="5AEBEAF6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③短期的ESG投入可能导致企业经营效益下滑</w:t>
      </w:r>
    </w:p>
    <w:p w14:paraId="7662A088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④ESG理念反映出企业核心竞争优势发生转变</w:t>
      </w:r>
    </w:p>
    <w:p w14:paraId="0243B454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①③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①④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②③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②④</w:t>
      </w:r>
    </w:p>
    <w:p w14:paraId="3667FBA2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人工智能（AI）快速发展，对社会生产生活产生了重大影响。阅读材料，回答下面小题。</w:t>
      </w:r>
    </w:p>
    <w:p w14:paraId="56708A53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8. </w:t>
      </w:r>
      <w:r>
        <w:rPr>
          <w:rFonts w:ascii="宋体" w:hAnsi="宋体" w:eastAsia="宋体" w:cs="宋体"/>
          <w:sz w:val="21"/>
          <w:szCs w:val="21"/>
        </w:rPr>
        <w:t>某国际知名研究机构将美国主要职业的“复杂任务”分为AI不可替代、AI互补和AI可替代三类，并估算了这三类任务的占比情况（如图），认为AI可替代任务占比超过50%的职业，被当前迅速发展的生成式AI替代的风险很高。对此，理解正确的是（   ）</w:t>
      </w:r>
    </w:p>
    <w:p w14:paraId="74D889C9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295650" cy="1828800"/>
            <wp:effectExtent l="0" t="0" r="0" b="0"/>
            <wp:docPr id="100043" name="图片 10004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图片 10004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95650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27BDD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美国主要职业（节选）的“复杂任务”AI可替代性分布情况</w:t>
      </w:r>
    </w:p>
    <w:p w14:paraId="2668E322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①AI应用推动了不同类型的职业优胜劣汰</w:t>
      </w:r>
    </w:p>
    <w:p w14:paraId="2447F68E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②AI应用不会改变劳动在价值创造中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3350" cy="180975"/>
            <wp:effectExtent l="0" t="0" r="0" b="8890"/>
            <wp:docPr id="100045" name="图片 1000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5" name="图片 10004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重要性</w:t>
      </w:r>
    </w:p>
    <w:p w14:paraId="2A3F9204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③AI可替代任务占比更低的职业，属于低技能型职业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047" name="图片 100047" descr="page number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7" name="图片 100047" descr="page number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53D018">
      <w:pPr>
        <w:sectPr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5E4DB6C3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④AI可替代任务占比更高的职业，劳动生产率增长潜力更大</w:t>
      </w:r>
    </w:p>
    <w:p w14:paraId="393D8EC3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①③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①④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②③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②④</w:t>
      </w:r>
    </w:p>
    <w:p w14:paraId="26315346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9. </w:t>
      </w:r>
      <w:r>
        <w:rPr>
          <w:rFonts w:ascii="宋体" w:hAnsi="宋体" w:eastAsia="宋体" w:cs="宋体"/>
          <w:sz w:val="21"/>
          <w:szCs w:val="21"/>
        </w:rPr>
        <w:t>“耳听为虚，眼见未必为实。”Sora等文生视频大模型能生成几乎可以“以假乱真”的视频（如图）。这种技术的快速迭代和广泛应用，将深刻影响人们对世界的认知。关于Sora，说法正确的是（   ）</w:t>
      </w:r>
    </w:p>
    <w:p w14:paraId="45CB4081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390775" cy="2266950"/>
            <wp:effectExtent l="0" t="0" r="9525" b="0"/>
            <wp:docPr id="100061" name="图片 10006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1" name="图片 10006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390775" cy="226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B523E8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Sora根据人的主观要求生成的视频，不是对现实世界的反映</w:t>
      </w:r>
    </w:p>
    <w:p w14:paraId="5525E154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归根结底，Sora等大模型生成的视频仍是人类社会实践的产物</w:t>
      </w:r>
    </w:p>
    <w:p w14:paraId="43055C24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Sora能生成“以假乱真”视频，说明真与假的对立性是相对的</w:t>
      </w:r>
    </w:p>
    <w:p w14:paraId="381A9261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Sora广泛应用于“深度造假”，将导致世界真实面目不可认识</w:t>
      </w:r>
    </w:p>
    <w:p w14:paraId="4D2B4FEE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10. </w:t>
      </w:r>
      <w:r>
        <w:rPr>
          <w:rFonts w:ascii="宋体" w:hAnsi="宋体" w:eastAsia="宋体" w:cs="宋体"/>
          <w:sz w:val="21"/>
          <w:szCs w:val="21"/>
        </w:rPr>
        <w:t>全国人大代表一头连着我国最高国家权力机关，一头连着广大人民群众。2023年6月，全国人大常委会新设立代表工作委员会。该机构成立以来，实现了统筹管理全国人大代表议案建议工作的若干“首次”（如表）。全国人大常委会设立代表工作委员会（   ）</w:t>
      </w:r>
    </w:p>
    <w:tbl>
      <w:tblPr>
        <w:tblStyle w:val="4"/>
        <w:tblW w:w="8325" w:type="dxa"/>
        <w:tblInd w:w="12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92"/>
        <w:gridCol w:w="7033"/>
      </w:tblGrid>
      <w:tr w14:paraId="31E181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290" w:type="dxa"/>
            <w:tcBorders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671B5B3F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2023年9月</w:t>
            </w:r>
          </w:p>
        </w:tc>
        <w:tc>
          <w:tcPr>
            <w:tcW w:w="7020" w:type="dxa"/>
            <w:tcBorders>
              <w:left w:val="single" w:color="000000" w:sz="6" w:space="0"/>
              <w:bottom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0B96CBE3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首次召开代表建议办理推进会，督促各承办单位按时保质办理代表建议</w:t>
            </w:r>
          </w:p>
        </w:tc>
      </w:tr>
      <w:tr w14:paraId="5A594D3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290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013D0C05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2023年10月</w:t>
            </w:r>
          </w:p>
        </w:tc>
        <w:tc>
          <w:tcPr>
            <w:tcW w:w="7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3536D0B4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首次召开代表议案建议分析座谈会，引导各承办单位充分发挥议案建议在全面深化改革、解决群众反映难题中的作用</w:t>
            </w:r>
          </w:p>
        </w:tc>
      </w:tr>
      <w:tr w14:paraId="518BF93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290" w:type="dxa"/>
            <w:tcBorders>
              <w:top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267AD94B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2024年2月</w:t>
            </w:r>
          </w:p>
        </w:tc>
        <w:tc>
          <w:tcPr>
            <w:tcW w:w="7020" w:type="dxa"/>
            <w:tcBorders>
              <w:top w:val="single" w:color="000000" w:sz="6" w:space="0"/>
              <w:lef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2C1E31AC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根据代表议案建议落实转化情况，首次发布10个高质量审议办理的典型案例</w:t>
            </w:r>
          </w:p>
        </w:tc>
      </w:tr>
    </w:tbl>
    <w:p w14:paraId="39573A81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①为全国人大代表提出议案建议提供了体制保障</w:t>
      </w:r>
    </w:p>
    <w:p w14:paraId="1BA1F524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②使其承担审议办理全国人大代表议案建议的专门职责</w:t>
      </w:r>
    </w:p>
    <w:p w14:paraId="1CFFF502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③适应了全国人大代表议案建议工作高质量发展的需求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063" name="图片 100063" descr="page number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3" name="图片 100063" descr="page number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46559C">
      <w:pPr>
        <w:sectPr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6372B9EE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④有利于将人民群众的智慧转化为推动国家发展的政策措施</w:t>
      </w:r>
    </w:p>
    <w:p w14:paraId="664F7A64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①②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①④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②③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③④</w:t>
      </w:r>
    </w:p>
    <w:p w14:paraId="362CEF3A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11. </w:t>
      </w:r>
      <w:r>
        <w:rPr>
          <w:rFonts w:ascii="宋体" w:hAnsi="宋体" w:eastAsia="宋体" w:cs="宋体"/>
          <w:sz w:val="21"/>
          <w:szCs w:val="21"/>
        </w:rPr>
        <w:t>针对消防通道占用、网吧接纳未成年人等违法行为，乡镇（街道）由于行政执法权限相对缺失，常常陷入“看得见管不着”的困境。对此，重庆市通过梳理现行法律法规确定27项镇街法定行政执法事项，并结合基层实际依法赋予镇街99项区县级行政执法事项，综合形成镇街“一张行政执法清单”。该举措（   ）</w:t>
      </w:r>
    </w:p>
    <w:p w14:paraId="1BDC3A74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①使镇街的行政执法权实现了从无到有的变革</w:t>
      </w:r>
    </w:p>
    <w:p w14:paraId="3044C1B4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②扩大镇街行政执法事项以适应基层治理需要</w:t>
      </w:r>
    </w:p>
    <w:p w14:paraId="44449CD3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③有利于科学配置上下级行政机关间的执法权限</w:t>
      </w:r>
    </w:p>
    <w:p w14:paraId="47BA7203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④体现出镇街比上级行政机关承担更多政府职责</w:t>
      </w:r>
    </w:p>
    <w:p w14:paraId="08E2B3B9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①③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①④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②③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②④</w:t>
      </w:r>
    </w:p>
    <w:p w14:paraId="7A33C703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12. </w:t>
      </w:r>
      <w:r>
        <w:rPr>
          <w:rFonts w:ascii="宋体" w:hAnsi="宋体" w:eastAsia="宋体" w:cs="宋体"/>
          <w:sz w:val="21"/>
          <w:szCs w:val="21"/>
        </w:rPr>
        <w:t>美国国务卿布林肯表示：在国际体系中，如果你不坐在餐桌上，就会出现在菜单上。联合国发言人表示：联合国有一张给193个成员国的大桌子，大家一起讨论那些没有任何国家能独立解决的问题，没人在菜单上。中国外交部长王毅表示：不能再允许谁的拳头大谁说了算，更不能允许有的国家必须在餐桌上、有的国家只能在菜单里。对此，理解正确的是（   ）</w:t>
      </w:r>
    </w:p>
    <w:p w14:paraId="1A9E4C35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①布林肯的“餐桌论”体现了美国外交活动坚持零和博弈的思维</w:t>
      </w:r>
    </w:p>
    <w:p w14:paraId="1AD7FA81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②“大桌子”表明了联合国以集体协商的方式解决所有国际事务</w:t>
      </w:r>
    </w:p>
    <w:p w14:paraId="56410BEA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③目前国际环境日趋复杂，一国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3350" cy="180975"/>
            <wp:effectExtent l="0" t="0" r="0" b="0"/>
            <wp:docPr id="100077" name="图片 1000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7" name="图片 10007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综合国力是维护其国家利益的保障</w:t>
      </w:r>
    </w:p>
    <w:p w14:paraId="2E470461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④当今霸权主义有所上升，王毅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3350" cy="180975"/>
            <wp:effectExtent l="0" t="0" r="0" b="0"/>
            <wp:docPr id="100079" name="图片 1000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9" name="图片 10007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表态代表美国之外其他国家的共同心声</w:t>
      </w:r>
    </w:p>
    <w:p w14:paraId="465271FD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①③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①④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②③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②④</w:t>
      </w:r>
    </w:p>
    <w:p w14:paraId="1B95BBB1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13. </w:t>
      </w:r>
      <w:r>
        <w:rPr>
          <w:rFonts w:ascii="宋体" w:hAnsi="宋体" w:eastAsia="宋体" w:cs="宋体"/>
          <w:sz w:val="21"/>
          <w:szCs w:val="21"/>
        </w:rPr>
        <w:t>1968年，美国工程师提出“太空电站”构想：在太空建设太阳能电站，将电磁能无线传输到地面接收站。随着相关理论和技术的突破，2021年，中国首个空间太阳能电站实验基地在重庆开工建设。下列说法正确的是（   ）</w:t>
      </w:r>
    </w:p>
    <w:p w14:paraId="128C1FBB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运用超前思维的“太空电站”构想，脱离了当时特定的社会历史条件</w:t>
      </w:r>
    </w:p>
    <w:p w14:paraId="6EF90A4F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唯有突破太空太阳能发电及其无线传输等本质联系，才能建成太空电站</w:t>
      </w:r>
    </w:p>
    <w:p w14:paraId="1B029797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在远离地球的太空建设电站，其遵循的规律有别于地球上的物理运动规律</w:t>
      </w:r>
    </w:p>
    <w:p w14:paraId="54B74AD1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从科学构想到技术突破再到实验验证，体现了科技发展的曲折性和前进性</w:t>
      </w:r>
    </w:p>
    <w:p w14:paraId="790F975B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14. </w:t>
      </w:r>
      <w:r>
        <w:rPr>
          <w:rFonts w:ascii="宋体" w:hAnsi="宋体" w:eastAsia="宋体" w:cs="宋体"/>
          <w:sz w:val="21"/>
          <w:szCs w:val="21"/>
        </w:rPr>
        <w:t>2024年春节前夕，湖北遭遇“天上是雨，落地为冰”极端天气，不少人受困高速公路。天寒地冻之际，有附近村民免费发放食物与开水，也有村民发现商机，提供有偿服务，泡好的方便面10元一桶，开水5元一杯，解决了众多受困者的燃眉之急。对此，认识正确的是（   ）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081" name="图片 100081" descr="page number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1" name="图片 100081" descr="page number 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1DB131">
      <w:pPr>
        <w:sectPr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788EB70A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①一方有难，八方支援，无私相助，宜大力提倡</w:t>
      </w:r>
    </w:p>
    <w:p w14:paraId="2C7CB316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②救人急难，有偿服务，兼顾多方利益，亦是雪中送炭</w:t>
      </w:r>
    </w:p>
    <w:p w14:paraId="1E9FA96B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③有偿服务实属“趁冷打劫”，有违社会主义核心价值观</w:t>
      </w:r>
    </w:p>
    <w:p w14:paraId="73961CEE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④无私相助，乐于奉献，是社会主义市场经济的基本要求</w:t>
      </w:r>
    </w:p>
    <w:p w14:paraId="13C7CEE4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①②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①③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②④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③④</w:t>
      </w:r>
    </w:p>
    <w:p w14:paraId="35BC861B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15. </w:t>
      </w:r>
      <w:r>
        <w:rPr>
          <w:rFonts w:ascii="宋体" w:hAnsi="宋体" w:eastAsia="宋体" w:cs="宋体"/>
          <w:sz w:val="21"/>
          <w:szCs w:val="21"/>
        </w:rPr>
        <w:t>老李丧偶后，独自抚养子女成人。子女大学毕业后赴外地工作定居。由于担心老无所依，老李与同小区居住的侄子李某订立了成年意定监护协议，约定由李某担任自己的意定监护人。关于该协议，说法正确的是（   ）</w:t>
      </w:r>
    </w:p>
    <w:p w14:paraId="471225A1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①既然订立了该协议，李某就应该对老李履行赡养义务</w:t>
      </w:r>
    </w:p>
    <w:p w14:paraId="35E31084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②李某履行该协议时，应最大程度尊重老李的真实意愿</w:t>
      </w:r>
    </w:p>
    <w:p w14:paraId="4C538E68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③尽管订立了该协议，子女还是应尽可能常回家探望父亲</w:t>
      </w:r>
    </w:p>
    <w:p w14:paraId="2AB8A6DB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④老李与社会脱节易上当受骗，未经子女同意不能订立该协议</w:t>
      </w:r>
    </w:p>
    <w:p w14:paraId="4CDC7C13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①③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①④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②③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②④</w:t>
      </w:r>
    </w:p>
    <w:p w14:paraId="171D156E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16. </w:t>
      </w:r>
      <w:r>
        <w:rPr>
          <w:rFonts w:ascii="宋体" w:hAnsi="宋体" w:eastAsia="宋体" w:cs="宋体"/>
          <w:sz w:val="21"/>
          <w:szCs w:val="21"/>
        </w:rPr>
        <w:t>“远亲不如近邻。”关于处理相邻关系，正确的是（   ）</w:t>
      </w:r>
    </w:p>
    <w:p w14:paraId="4238DB80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小赵家的婴儿经常半夜啼哭吵醒楼下住户，小赵认为已关闭自家门窗，邻居应予包容</w:t>
      </w:r>
    </w:p>
    <w:p w14:paraId="4C2D6A8D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小孙在阳台用农家肥种菜，产生的异味令四邻难以忍受，小孙认为在自家阳台种菜，没有妨碍他人</w:t>
      </w:r>
    </w:p>
    <w:p w14:paraId="453ED85C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小李家的果树年年修剪，仍大面积遮挡邻居家窗户，被邻居投诉，小李认为果树种植在自家院坝，他人无权干涉</w:t>
      </w:r>
    </w:p>
    <w:p w14:paraId="3B37A9EC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小钱将自家入户门由向内开改为向外开，导致邻居出行通道狭窄，邻居要求整改，小钱认为自家房门改装与邻居无关</w:t>
      </w:r>
    </w:p>
    <w:p w14:paraId="5656F7AF">
      <w:pPr>
        <w:widowControl w:val="0"/>
        <w:spacing w:before="0" w:after="0" w:line="360" w:lineRule="auto"/>
      </w:pPr>
      <w:r>
        <w:rPr>
          <w:rFonts w:ascii="宋体" w:hAnsi="宋体" w:eastAsia="宋体" w:cs="宋体"/>
          <w:b/>
          <w:bCs/>
        </w:rPr>
        <w:t>二、非选择题（本大题共2小题，共52分）。</w:t>
      </w:r>
    </w:p>
    <w:p w14:paraId="61F0A5A8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sz w:val="21"/>
          <w:szCs w:val="21"/>
        </w:rPr>
        <w:t xml:space="preserve">17. </w:t>
      </w:r>
      <w:r>
        <w:rPr>
          <w:rFonts w:ascii="楷体" w:hAnsi="楷体" w:eastAsia="楷体" w:cs="楷体"/>
          <w:sz w:val="21"/>
          <w:szCs w:val="21"/>
        </w:rPr>
        <w:t>今年是中华人民共和国成立75周年。中国始终是维护世界和平与发展的积极因素和坚定力量，从来没有因为“中国威胁论”而威胁世界和平与发展。中国的发展历经各种困难挑战走到今天，没有因为“中国崩溃论”而崩溃，也不会因为“中国见顶论”而见顶。</w:t>
      </w:r>
    </w:p>
    <w:p w14:paraId="6042F3F0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材料一  几十年来，西方一直流传着关于中国发展的各种论调，如下表。</w:t>
      </w:r>
    </w:p>
    <w:tbl>
      <w:tblPr>
        <w:tblStyle w:val="4"/>
        <w:tblW w:w="8325" w:type="dxa"/>
        <w:tblInd w:w="12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50"/>
        <w:gridCol w:w="3155"/>
        <w:gridCol w:w="2107"/>
        <w:gridCol w:w="2613"/>
      </w:tblGrid>
      <w:tr w14:paraId="6D4F1A3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45" w:type="dxa"/>
            <w:tcBorders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4DBEF05D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br w:type="textWrapping"/>
            </w:r>
          </w:p>
        </w:tc>
        <w:tc>
          <w:tcPr>
            <w:tcW w:w="3195" w:type="dxa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3FBE518A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楷体" w:hAnsi="楷体" w:eastAsia="楷体" w:cs="楷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中国威胁论</w:t>
            </w:r>
          </w:p>
        </w:tc>
        <w:tc>
          <w:tcPr>
            <w:tcW w:w="2130" w:type="dxa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2074731C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楷体" w:hAnsi="楷体" w:eastAsia="楷体" w:cs="楷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中国崩溃论</w:t>
            </w:r>
          </w:p>
        </w:tc>
        <w:tc>
          <w:tcPr>
            <w:tcW w:w="2640" w:type="dxa"/>
            <w:tcBorders>
              <w:left w:val="single" w:color="000000" w:sz="6" w:space="0"/>
              <w:bottom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23442273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楷体" w:hAnsi="楷体" w:eastAsia="楷体" w:cs="楷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中国见顶论</w:t>
            </w:r>
          </w:p>
        </w:tc>
      </w:tr>
      <w:tr w14:paraId="767B273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72" w:type="dxa"/>
            <w:tcBorders>
              <w:top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00FF56AE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楷体" w:hAnsi="楷体" w:eastAsia="楷体" w:cs="楷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主要</w:t>
            </w:r>
          </w:p>
        </w:tc>
        <w:tc>
          <w:tcPr>
            <w:tcW w:w="3195" w:type="dxa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2A7CEF14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楷体" w:hAnsi="楷体" w:eastAsia="楷体" w:cs="楷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中国制度和发展模式的有效性对西方构成威胁；中国利用经济手段胁迫他国，影响</w:t>
            </w:r>
          </w:p>
        </w:tc>
        <w:tc>
          <w:tcPr>
            <w:tcW w:w="2130" w:type="dxa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7BF7D929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楷体" w:hAnsi="楷体" w:eastAsia="楷体" w:cs="楷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中国经济正在衰退，并开始崩溃，将拖累</w:t>
            </w:r>
          </w:p>
        </w:tc>
        <w:tc>
          <w:tcPr>
            <w:tcW w:w="2640" w:type="dxa"/>
            <w:tcBorders>
              <w:top w:val="single" w:color="000000" w:sz="6" w:space="0"/>
              <w:lef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4B4628FD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楷体" w:hAnsi="楷体" w:eastAsia="楷体" w:cs="楷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随着人口红利消失，科技遭遇打压，经济被“脱钩断链”，中</w:t>
            </w:r>
          </w:p>
        </w:tc>
      </w:tr>
    </w:tbl>
    <w:p w14:paraId="6C2C58F0">
      <w:pPr>
        <w:widowControl w:val="0"/>
        <w:spacing w:before="0" w:after="0"/>
        <w:jc w:val="both"/>
        <w:rPr>
          <w:sz w:val="0"/>
          <w:szCs w:val="0"/>
        </w:rPr>
      </w:pPr>
      <w:r>
        <w:rPr>
          <w:strike w:val="0"/>
          <w:sz w:val="0"/>
          <w:szCs w:val="0"/>
          <w:u w:val="none"/>
        </w:rPr>
        <w:drawing>
          <wp:inline distT="0" distB="0" distL="114300" distR="114300">
            <wp:extent cx="28575" cy="28575"/>
            <wp:effectExtent l="0" t="0" r="0" b="0"/>
            <wp:docPr id="100095" name="图片 100095" descr="page number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95" name="图片 100095" descr="page number 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0E2CBE">
      <w:pPr>
        <w:sectPr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tbl>
      <w:tblPr>
        <w:tblStyle w:val="4"/>
        <w:tblW w:w="8325" w:type="dxa"/>
        <w:tblInd w:w="12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50"/>
        <w:gridCol w:w="3157"/>
        <w:gridCol w:w="2108"/>
        <w:gridCol w:w="2610"/>
      </w:tblGrid>
      <w:tr w14:paraId="040F59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72" w:type="dxa"/>
            <w:tcBorders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356F768F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楷体" w:hAnsi="楷体" w:eastAsia="楷体" w:cs="楷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内容</w:t>
            </w:r>
          </w:p>
        </w:tc>
        <w:tc>
          <w:tcPr>
            <w:tcW w:w="3195" w:type="dxa"/>
            <w:tcBorders>
              <w:left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3F6D41E3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楷体" w:hAnsi="楷体" w:eastAsia="楷体" w:cs="楷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国际公平秩序；中国低价倾销过剩产能，损害国际产业链供应链安全；中国军力增强威胁世界安全</w:t>
            </w:r>
          </w:p>
        </w:tc>
        <w:tc>
          <w:tcPr>
            <w:tcW w:w="2130" w:type="dxa"/>
            <w:tcBorders>
              <w:left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551F5137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楷体" w:hAnsi="楷体" w:eastAsia="楷体" w:cs="楷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全球经济；中国的制度和体制必然被西方资本主义取代</w:t>
            </w:r>
          </w:p>
        </w:tc>
        <w:tc>
          <w:tcPr>
            <w:tcW w:w="2640" w:type="dxa"/>
            <w:tcBorders>
              <w:lef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7EAC52DC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楷体" w:hAnsi="楷体" w:eastAsia="楷体" w:cs="楷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国经济增速将放缓，经济总量永远不会超过美国，差距甚至会进一步拉大</w:t>
            </w:r>
          </w:p>
        </w:tc>
      </w:tr>
    </w:tbl>
    <w:p w14:paraId="0609EEB2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材料二  面对上述论调，我们要坚持把自己的事情办好，推动经济发展质量变革、效率变革、动力变革，不断壮大我国经济实力、科技实力、综合国力。</w:t>
      </w:r>
    </w:p>
    <w:p w14:paraId="324236D1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一般而言，劳动（包括劳动力数量和质量）、资本、技术是推动经济增长的核心要素，如图描述了2012—2050年我国GDP增长的动力分解及人均GDP的变化情况。</w:t>
      </w:r>
    </w:p>
    <w:p w14:paraId="0798E547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867150" cy="2228850"/>
            <wp:effectExtent l="0" t="0" r="0" b="0"/>
            <wp:docPr id="100109" name="图片 1001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09" name="图片 1001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867150" cy="222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E3CCF8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注：2021—2023年为实际值；2025—2050年为潜在值。</w:t>
      </w:r>
    </w:p>
    <w:p w14:paraId="135B06AE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材料三  我们党历来重视发展生产力，尤其重视通过科技进步发展生产力。毛泽东指出，“不搞科学技术，生产力无法提高。”邓小平提出，“科学技术是第一生产力。”习近平强调，“发展新质生产力是推动高质量发展的内在要求和重要着力点，必须继续做好创新这篇大文章，推动新质生产力加快发展”，“必须进一步全面深化改革，形成与之相适应的新型生产关系。”</w:t>
      </w:r>
    </w:p>
    <w:p w14:paraId="7170F47F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）结合材料一，运用《政治与法治》《当代国际政治与经济》相关知识，批驳西方关于中国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3350" cy="180975"/>
            <wp:effectExtent l="0" t="0" r="0" b="0"/>
            <wp:docPr id="100111" name="图片 100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11" name="图片 10011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这些论调。</w:t>
      </w:r>
    </w:p>
    <w:p w14:paraId="4AEDA8CE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）根据材料二图示，概括2012-2023年我国经济增长动力结构的演变特征。</w:t>
      </w:r>
    </w:p>
    <w:p w14:paraId="3A75CA85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）结合材料二，说明在人口红利逐步减少的背景下，达到2050年潜在GDP增长目标，我国应如何推动经济增长动力变革。</w:t>
      </w:r>
    </w:p>
    <w:p w14:paraId="5516BB5B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4</w:t>
      </w:r>
      <w:r>
        <w:rPr>
          <w:rFonts w:ascii="宋体" w:hAnsi="宋体" w:eastAsia="宋体" w:cs="宋体"/>
          <w:sz w:val="21"/>
          <w:szCs w:val="21"/>
        </w:rPr>
        <w:t>）结合材料三，运用社会历史发展规律的相关知识，说明中国经济发展能够行稳致远的根本原因。</w:t>
      </w:r>
    </w:p>
    <w:p w14:paraId="6CD1A662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sz w:val="21"/>
          <w:szCs w:val="21"/>
        </w:rPr>
        <w:t xml:space="preserve">18. </w:t>
      </w:r>
      <w:r>
        <w:rPr>
          <w:rFonts w:ascii="楷体" w:hAnsi="楷体" w:eastAsia="楷体" w:cs="楷体"/>
          <w:sz w:val="21"/>
          <w:szCs w:val="21"/>
        </w:rPr>
        <w:t>材料一  新中国成立以来，我国高度重视科技发展，形成了科技创新的举国体制，科学技术发展取得巨大成就。但与西方发达国家相比，当前我国的科技水平还存在不小差距，特别在高端芯片、现代信息技术等领域还存在“卡脖子”问题。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113" name="图片 100113" descr="page number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13" name="图片 100113" descr="page number 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6E5CD8">
      <w:pPr>
        <w:sectPr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0CD7ED64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bookmarkStart w:id="0" w:name="_GoBack"/>
      <w:bookmarkEnd w:id="0"/>
      <w:r>
        <w:rPr>
          <w:rFonts w:ascii="楷体" w:hAnsi="楷体" w:eastAsia="楷体" w:cs="楷体"/>
          <w:sz w:val="21"/>
          <w:szCs w:val="21"/>
        </w:rPr>
        <w:t>材料二  为推进鸿蒙操作系统的开发和应用，解决“卡脖子”问题，华为公司一方面在核心技术、硬件设备、应用生态等层面加快专利布局，另一方面与各科技平台加强协作，推动鸿蒙生态的建设。在此过程中，央视网、支付宝、微信在越来越多的平台宣布启动鸿蒙原生应用开发，或与华为公司达成协议，共建鸿蒙生态。截至2024年4月，加入鸿蒙生态的应用已超过4000个。</w:t>
      </w:r>
    </w:p>
    <w:p w14:paraId="078EFFD4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）结合材料一，运用《逻辑与思维》中的辩证否定观，谈谈解决当下我国“卡脖子”问题的主要思路。</w:t>
      </w:r>
    </w:p>
    <w:p w14:paraId="7F31E5B9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）结合材料二，运用《法律与生活》相关知识，分析知识产权与合同制度对科技创新的积极作用。</w:t>
      </w:r>
    </w:p>
    <w:p w14:paraId="4B144D51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127" name="图片 100127" descr="page number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27" name="图片 100127" descr="page number 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4BB27A"/>
    <w:sectPr>
      <w:type w:val="continuous"/>
      <w:pgSz w:w="11927" w:h="16875"/>
      <w:pgMar w:top="800" w:right="1120" w:bottom="540" w:left="112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8AC986">
    <w:pPr>
      <w:pStyle w:val="2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287F44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C3B4D4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479CB2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422BD6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8B0586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noPunctuationKerning w:val="1"/>
  <w:characterSpacingControl w:val="doNotCompress"/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77B3E"/>
    <w:rsid w:val="00A77B3E"/>
    <w:rsid w:val="00CA2A55"/>
    <w:rsid w:val="22883556"/>
    <w:rsid w:val="55CC4E45"/>
    <w:rsid w:val="6BF818D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sz w:val="24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5230</Words>
  <Characters>5485</Characters>
  <Lines>0</Lines>
  <Paragraphs>0</Paragraphs>
  <TotalTime>0</TotalTime>
  <ScaleCrop>false</ScaleCrop>
  <LinksUpToDate>false</LinksUpToDate>
  <CharactersWithSpaces>5664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2026-02-10T06:38:00Z</dcterms:created>
  <dc:creator>Administrator</dc:creator>
  <cp:lastModifiedBy>上帝掷骰子吗</cp:lastModifiedBy>
  <dcterms:modified xsi:type="dcterms:W3CDTF">2026-02-10T06:56:21Z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eyJoZGlkIjoiMjljNjk0N2RhMTc0NzI3ZTQwZWEyZWMyMzA2NzliMDQiLCJ1c2VySWQiOiI3ODUwOTA2ODcifQ==</vt:lpwstr>
  </property>
  <property fmtid="{D5CDD505-2E9C-101B-9397-08002B2CF9AE}" pid="3" name="KSOProductBuildVer">
    <vt:lpwstr>2052-12.1.0.24657</vt:lpwstr>
  </property>
  <property fmtid="{D5CDD505-2E9C-101B-9397-08002B2CF9AE}" pid="4" name="ICV">
    <vt:lpwstr>299DCA47EE2E4AED941CCD9955EAC4F1_12</vt:lpwstr>
  </property>
</Properties>
</file>