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FBE37F">
      <w:pPr>
        <w:spacing w:before="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pict>
          <v:shape id="_x00000" o:spid="_x0000_s1026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" o:spid="_x0000_s1027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2" o:spid="_x0000_s1028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3" o:spid="_x0000_s1029" o:spt="75" type="#_x0000_t75" style="position:absolute;left:0pt;margin-left:254.1pt;margin-top:450.7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pict>
          <v:shape id="_x00004" o:spid="_x0000_s1030" o:spt="75" type="#_x0000_t75" style="position:absolute;left:0pt;margin-left:95.05pt;margin-top:708.1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4"/>
        </w:rPr>
        <w:t>参照机密等级管理·启用前</w:t>
      </w:r>
    </w:p>
    <w:p w14:paraId="7BA3CA96">
      <w:pPr>
        <w:spacing w:before="211" w:after="0" w:line="325" w:lineRule="exact"/>
        <w:ind w:left="771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江西省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/>
          <w:color w:val="000000"/>
          <w:spacing w:val="9"/>
          <w:sz w:val="32"/>
        </w:rPr>
        <w:t>2025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年普通高中学业水平选择性考试思想政治试卷</w:t>
      </w:r>
    </w:p>
    <w:p w14:paraId="1DC6917C">
      <w:pPr>
        <w:spacing w:before="21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4910BC5E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1．答卷前，考生务必将自己的姓名、考生号等填写在试卷、答题卡上。</w:t>
      </w:r>
    </w:p>
    <w:p w14:paraId="57BF0530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2．回答选择题时，选出每小题答案后，用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2B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铅笔把答题卡上对应题目的答案标号涂黑。如</w:t>
      </w:r>
    </w:p>
    <w:p w14:paraId="76D80652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需改动，用橡皮擦干净后，再选涂其他答案标号。回答非选择题时，将答案写在答题卡上。</w:t>
      </w:r>
    </w:p>
    <w:p w14:paraId="4423D9E8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写在本试卷上无效。</w:t>
      </w:r>
    </w:p>
    <w:p w14:paraId="1B0F2D4F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3．考试结束后，将本试卷和答题卡一并交回。</w:t>
      </w:r>
    </w:p>
    <w:p w14:paraId="36ADA16F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15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3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45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40523520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项符合题目要求。</w:t>
      </w:r>
    </w:p>
    <w:p w14:paraId="7EB13FEA">
      <w:pPr>
        <w:spacing w:before="1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35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《共产党宣言》指出：“共产党人的理论原理，决不是以这个或那个世界改革家所发明或发现的思想、原</w:t>
      </w:r>
    </w:p>
    <w:p w14:paraId="68CA9EEB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则为根据的。”“这些原理不过是现存的阶级斗争、我们眼前的历史运动的真实关系的一般表述。”对此理</w:t>
      </w:r>
    </w:p>
    <w:p w14:paraId="29D2436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解正确的是（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8F0E226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共产党人的理论完全不同于以往任何“世界改革家”</w:t>
      </w:r>
    </w:p>
    <w:p w14:paraId="1E7CE5F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马克思主义揭示了资本主义社会的阶级斗争及其趋势</w:t>
      </w:r>
    </w:p>
    <w:p w14:paraId="6C0FC10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适应无产阶级斗争的需要是马克思主义科学性的基础</w:t>
      </w:r>
    </w:p>
    <w:p w14:paraId="792BB66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马克思主义理论的历史使命是认识人类社会发展规律</w:t>
      </w:r>
    </w:p>
    <w:p w14:paraId="0BE57924">
      <w:pPr>
        <w:spacing w:before="189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7"/>
          <w:sz w:val="21"/>
        </w:rPr>
        <w:t>2．（缺失）</w:t>
      </w:r>
    </w:p>
    <w:p w14:paraId="43A9A4BD">
      <w:pPr>
        <w:spacing w:before="18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2. </w:t>
      </w:r>
      <w:r>
        <w:rPr>
          <w:rFonts w:ascii="宋体"/>
          <w:color w:val="000000"/>
          <w:spacing w:val="0"/>
          <w:sz w:val="21"/>
        </w:rPr>
        <w:t>2024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年，全国人大常委会对所有提请审议</w:t>
      </w:r>
      <w:r>
        <w:rPr>
          <w:rFonts w:ascii="Times New Roman"/>
          <w:color w:val="000000"/>
          <w:spacing w:val="159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法律案都进行了合宪性审查；对报送备案的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2146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件法规、规</w:t>
      </w:r>
    </w:p>
    <w:p w14:paraId="36391E3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章、司法解释等规范性文件开展主动审查，对公民、组织提出的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5682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件审查建议逐一研究并依法反馈，推</w:t>
      </w:r>
    </w:p>
    <w:p w14:paraId="01ABB79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动和督促制定机关纠正处理各类规范性文件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1040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件。这表明（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1668C0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全国人大常委会依法积极行使国家立法权</w:t>
      </w:r>
    </w:p>
    <w:p w14:paraId="78AD02E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合宪性审查是保证宪法法律实施的根本途径</w:t>
      </w:r>
    </w:p>
    <w:p w14:paraId="4024228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备案审查对维护国家法治统一发挥重要作用</w:t>
      </w:r>
    </w:p>
    <w:p w14:paraId="62FD9E8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各种法规须经全国人大常委会审查批准后生效</w:t>
      </w:r>
    </w:p>
    <w:p w14:paraId="502D4A8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3. </w:t>
      </w:r>
      <w:r>
        <w:rPr>
          <w:rFonts w:ascii="宋体" w:hAnsi="宋体" w:cs="宋体"/>
          <w:color w:val="000000"/>
          <w:spacing w:val="0"/>
          <w:sz w:val="21"/>
        </w:rPr>
        <w:t>“制定实施中央八项规定，是我们党在新时代的徙木立信之举，必须常抓不懈、久久为功”，2025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</w:t>
      </w:r>
    </w:p>
    <w:p w14:paraId="599BC5D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月，党中央决定在全党开展深入贯彻中央八项规定精神学习教育。锲而不舍落实中央八项规定精神（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B12F64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①说明“作风建设永远在路上”</w:t>
      </w:r>
    </w:p>
    <w:p w14:paraId="57519B2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②彰显共产党人“革命理想高于天”</w:t>
      </w:r>
    </w:p>
    <w:p w14:paraId="62C9890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③确保党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创新理论“飞入寻常百姓家”</w:t>
      </w:r>
    </w:p>
    <w:p w14:paraId="512FF98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④昭示“解决大党独有难题的清醒和坚定”</w:t>
      </w:r>
    </w:p>
    <w:p w14:paraId="266E6AB4">
      <w:pPr>
        <w:spacing w:before="46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987FA4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7799992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AEB149F">
      <w:pPr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38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02F8AE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CE1AB8E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5" o:spid="_x0000_s1031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6" o:spid="_x0000_s1032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7" o:spid="_x0000_s1033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8" o:spid="_x0000_s1034" o:spt="75" type="#_x0000_t75" style="position:absolute;left:0pt;margin-left:60.5pt;margin-top:84.55pt;height:8.75pt;width: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" o:title=""/>
            <o:lock v:ext="edit" aspectratio="t"/>
          </v:shape>
        </w:pict>
      </w:r>
      <w:r>
        <w:pict>
          <v:shape id="_x00009" o:spid="_x0000_s1035" o:spt="75" type="#_x0000_t75" style="position:absolute;left:0pt;margin-left:252.6pt;margin-top:358.4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pict>
          <v:shape id="_x000010" o:spid="_x0000_s1036" o:spt="75" type="#_x0000_t75" style="position:absolute;left:0pt;margin-left:242.1pt;margin-top:381.7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6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208429F2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遵义会议作为我们党历史上一次具有伟大转折意义的重要会议，在把马克思主义基本原理同中国具体实</w:t>
      </w:r>
    </w:p>
    <w:p w14:paraId="0B82218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际相结合、坚持走独立自主道路、坚定正确的政治路线和政策策略、建设坚强成熟的中央领导集体等方面，</w:t>
      </w:r>
    </w:p>
    <w:p w14:paraId="59C0020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留下宝贵经验和重要启示。运用好遵义会议历史经验，走好新时代的长征路，我们要（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C4CD02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①根据形势变化灵活选择国家的发展道路</w:t>
      </w:r>
    </w:p>
    <w:p w14:paraId="01D22D6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②坚持把国家和民族发展放在自己力量的基点上</w:t>
      </w:r>
    </w:p>
    <w:p w14:paraId="64B5513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③强化“核心意识”，不断凝聚团结奋斗的强大合力</w:t>
      </w:r>
    </w:p>
    <w:p w14:paraId="2FB80A5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④不断解放思想，在全面深化改革中破立并举、先破后立</w:t>
      </w:r>
    </w:p>
    <w:p w14:paraId="358FAA1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11E01A9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5. </w:t>
      </w:r>
      <w:r>
        <w:rPr>
          <w:rFonts w:ascii="宋体"/>
          <w:color w:val="000000"/>
          <w:spacing w:val="0"/>
          <w:sz w:val="21"/>
        </w:rPr>
        <w:t>1978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年，党中央作出建设“三北”防护林工程的战略决策。新疆各族干部群众依托“三北”防护林工程</w:t>
      </w:r>
    </w:p>
    <w:p w14:paraId="52B02F4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建设，因地制宜探索出“生物治沙”“光伏治沙”“梯田式治沙”等防沙治沙方式；经过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46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年的不懈努力，</w:t>
      </w:r>
    </w:p>
    <w:p w14:paraId="2AC1078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绿色阻沙防护带成功锁边“合龙”，给塔克拉玛干沙漠系上一条</w:t>
      </w:r>
      <w:r>
        <w:rPr>
          <w:rFonts w:ascii="Times New Roman"/>
          <w:color w:val="000000"/>
          <w:spacing w:val="-24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3046</w:t>
      </w:r>
      <w:r>
        <w:rPr>
          <w:rFonts w:ascii="Times New Roman"/>
          <w:color w:val="000000"/>
          <w:spacing w:val="-24"/>
          <w:sz w:val="21"/>
        </w:rPr>
        <w:t xml:space="preserve"> </w:t>
      </w:r>
      <w:r>
        <w:rPr>
          <w:rFonts w:ascii="宋体" w:hAnsi="宋体" w:cs="宋体"/>
          <w:color w:val="000000"/>
          <w:spacing w:val="-12"/>
          <w:sz w:val="21"/>
        </w:rPr>
        <w:t>公里的“绿围脖”。以下正确的是（</w:t>
      </w:r>
      <w:r>
        <w:rPr>
          <w:rFonts w:ascii="Times New Roman"/>
          <w:color w:val="000000"/>
          <w:spacing w:val="27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2D485A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①建设“三北”防护林工程是遵循客观规律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战略决策</w:t>
      </w:r>
    </w:p>
    <w:p w14:paraId="329B5C2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②多样化防沙治沙是坚持世界统一于物质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必然要求</w:t>
      </w:r>
    </w:p>
    <w:p w14:paraId="5927478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③46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年不懈努力表明坚定意志是创造和实现价值的前提</w:t>
      </w:r>
    </w:p>
    <w:p w14:paraId="5BF8F1C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④防护带锁边“合龙”是发挥主观能动性的必然结果</w:t>
      </w:r>
    </w:p>
    <w:p w14:paraId="3636368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4EBE4967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/>
          <w:color w:val="000000"/>
          <w:spacing w:val="0"/>
          <w:sz w:val="21"/>
        </w:rPr>
        <w:t>2025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-4"/>
          <w:sz w:val="21"/>
        </w:rPr>
        <w:t>年年初，《哪吒之魔童闹海》在海内外电影市场大放异彩。该电影改编自传统的“哪吒闹海”故事，</w:t>
      </w:r>
    </w:p>
    <w:p w14:paraId="7247BA3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从经典文学作品中选取主要人物和情节，结合现代人的生活境遇和情感心理，赋予故事人物新的形象特征；</w:t>
      </w:r>
    </w:p>
    <w:p w14:paraId="5B66032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汲取三星堆青铜器、侗族大歌等传统文化元素，并运用前沿的现代电影工业技术，让海内外观众更直观地</w:t>
      </w:r>
    </w:p>
    <w:p w14:paraId="2428D5F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感受到中华文化的生命力与艺术张力。据此回答下列问题。</w:t>
      </w:r>
    </w:p>
    <w:p w14:paraId="683FDA6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哪吒形象的历史演变说明（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885F3A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①传统的“哪吒闹海”故事为人物形象塑造提供了直接经验</w:t>
      </w:r>
    </w:p>
    <w:p w14:paraId="39F9D3B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②不同时期的哪吒形象是社会存在变化发展的反映</w:t>
      </w:r>
    </w:p>
    <w:p w14:paraId="308540C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③哪吒形象的时代表达体现了社会意识的历史继承性</w:t>
      </w:r>
    </w:p>
    <w:p w14:paraId="4FE38F3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④哪吒形象的创作归根结底是人民群众智慧的产物</w:t>
      </w:r>
    </w:p>
    <w:p w14:paraId="0FDBFEE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1A7BE0E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《哪吒之魔童闹海》大放异彩，给我们的启示是（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8A4E4E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①文艺创作要在内容和形式的融合上进行深度创新</w:t>
      </w:r>
    </w:p>
    <w:p w14:paraId="13F6D67A">
      <w:pPr>
        <w:spacing w:before="43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818B1E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A13714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C9656DB">
      <w:pPr>
        <w:sectPr>
          <w:pgSz w:w="11900" w:h="16840"/>
          <w:pgMar w:top="1441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C56069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E4D3E5A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1" o:spid="_x0000_s1037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2" o:spid="_x0000_s1038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3" o:spid="_x0000_s1039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4" o:spid="_x0000_s1040" o:spt="75" type="#_x0000_t75" style="position:absolute;left:0pt;margin-left:53pt;margin-top:227.1pt;height:245.1pt;width:404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②发展文化产业是满足人民精神文化需求的基本途径</w:t>
      </w:r>
    </w:p>
    <w:p w14:paraId="2FBA41F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③优秀文化产品的国际传播有利于提升国家文化软实力</w:t>
      </w:r>
    </w:p>
    <w:p w14:paraId="345518C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④推动中华文化走出去是我们在新时代新的文化使命</w:t>
      </w:r>
    </w:p>
    <w:p w14:paraId="7AFB03B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1ABE20C6">
      <w:pPr>
        <w:spacing w:before="189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7"/>
          <w:sz w:val="21"/>
        </w:rPr>
        <w:t>9．（缺失）</w:t>
      </w:r>
    </w:p>
    <w:p w14:paraId="60CF177B">
      <w:pPr>
        <w:spacing w:before="18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近年来，面对单边主义、保护主义抬头，中国经济迎难而上，顶住了外部压力，克服了内部困难，以高</w:t>
      </w:r>
    </w:p>
    <w:p w14:paraId="08EA721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质量发展的确定性应对外部环境急剧变化的不确定性。下图说明（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9726A1E">
      <w:pPr>
        <w:spacing w:before="524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①我国积极应对逆全球化保持国际货物贸易正增长</w:t>
      </w:r>
    </w:p>
    <w:p w14:paraId="47A89D4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②我国扩大高水平对外开放提升了贸易投资合作质量</w:t>
      </w:r>
    </w:p>
    <w:p w14:paraId="33BC6CE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③我国与共建“一带一路”国家货物贸易持续增长</w:t>
      </w:r>
    </w:p>
    <w:p w14:paraId="586CE66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④中美货物贸易增速始终低于我国对外货物贸易增速</w:t>
      </w:r>
    </w:p>
    <w:p w14:paraId="28662FA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0D92EF0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9. </w:t>
      </w:r>
      <w:r>
        <w:rPr>
          <w:rFonts w:ascii="宋体" w:hAnsi="宋体" w:cs="宋体"/>
          <w:color w:val="000000"/>
          <w:spacing w:val="0"/>
          <w:sz w:val="21"/>
        </w:rPr>
        <w:t>“全球南方”群体性崛起，是世界大变局的鲜明标志。一大批新兴市场国家和发展中国家在发展领域互</w:t>
      </w:r>
    </w:p>
    <w:p w14:paraId="03B144E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帮互助，在国际舞台相互支持，在文明交流中互学互鉴，成为国际秩序变革的关键力量。“全球南方”蓬勃</w:t>
      </w:r>
    </w:p>
    <w:p w14:paraId="0DE2411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发展（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0F6E3E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①推动了全球治理体系朝着更加公正合理的方向发展</w:t>
      </w:r>
    </w:p>
    <w:p w14:paraId="4B773F8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②增强了发展中国家在国际事务中的话语权和影响力</w:t>
      </w:r>
    </w:p>
    <w:p w14:paraId="21EF445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③表明区域性国际组织在全球治理中的作用日益突出</w:t>
      </w:r>
    </w:p>
    <w:p w14:paraId="7FDBEEF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④搭建了中国同各国团结合作实现共同目标的新平台</w:t>
      </w:r>
    </w:p>
    <w:p w14:paraId="0B71263D">
      <w:pPr>
        <w:spacing w:before="37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EB8162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DF8358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AB1D58A">
      <w:pPr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58E8958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07DF63B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5" o:spid="_x0000_s1041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6" o:spid="_x0000_s1042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7" o:spid="_x0000_s1043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8" o:spid="_x0000_s1044" o:spt="75" type="#_x0000_t75" style="position:absolute;left:0pt;margin-left:47pt;margin-top:486pt;height:81.55pt;width:419.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38DBA19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10. </w:t>
      </w:r>
      <w:r>
        <w:rPr>
          <w:rFonts w:ascii="宋体"/>
          <w:color w:val="000000"/>
          <w:spacing w:val="0"/>
          <w:sz w:val="21"/>
        </w:rPr>
        <w:t>2024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月，在校大学生甲在某公司实习，公司与甲口头约定，待甲取得毕业证书后再签订正式劳动合</w:t>
      </w:r>
    </w:p>
    <w:p w14:paraId="239DAA0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同。同年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7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月，甲取得毕业证书后，公司却以各种借口未与其签订书面劳动合同。2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个月后，公司以甲业绩</w:t>
      </w:r>
    </w:p>
    <w:p w14:paraId="7C6654F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排名末位为由将其辞退，并扣除一个月工资。甲向劳动行政部门投诉。本案中（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98E11F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①甲与公司不成立劳动关系</w:t>
      </w:r>
    </w:p>
    <w:p w14:paraId="4EF866A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②公司辞退甲应支付经济补偿或赔偿金</w:t>
      </w:r>
    </w:p>
    <w:p w14:paraId="285466A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③因甲业绩排名末位，公司辞退甲的行为合法</w:t>
      </w:r>
    </w:p>
    <w:p w14:paraId="758EF9B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④劳动行政部门应责令公司向甲支付克扣的工资</w:t>
      </w:r>
    </w:p>
    <w:p w14:paraId="5EC1BB1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03864D9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2025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日，甲搬家时将一张借条托好友乙保管。该借条由丙亲笔书写并签名：“借条今借到甲现</w:t>
      </w:r>
    </w:p>
    <w:p w14:paraId="6CBA0C1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金叁万圆整。借款人：丙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2022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18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日”。2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个月后，甲请求乙归还借条，乙找寻多次无果后称借条已</w:t>
      </w:r>
    </w:p>
    <w:p w14:paraId="424DCC0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不慎遗失。下列正确的是（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F1B48A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①乙应当赔偿甲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万元</w:t>
      </w:r>
    </w:p>
    <w:p w14:paraId="0B24F69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②甲、丙之间借款关系中，借条属于书证</w:t>
      </w:r>
    </w:p>
    <w:p w14:paraId="23DA4BD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③甲仍有权请求丙清偿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万元的借款</w:t>
      </w:r>
    </w:p>
    <w:p w14:paraId="6B0C654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④甲、丙之间债务的诉讼时效已届满</w:t>
      </w:r>
    </w:p>
    <w:p w14:paraId="48810ED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636D8C1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</w:p>
    <w:p w14:paraId="05A15C92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所有读《论语》的都读了《老子》</w:t>
      </w:r>
    </w:p>
    <w:p w14:paraId="37AAA26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有些读《老子》的也读了《史记》</w:t>
      </w:r>
    </w:p>
    <w:p w14:paraId="5DEA23A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所有不读《诗经》的都不读《老子》</w:t>
      </w:r>
    </w:p>
    <w:p w14:paraId="7E671C99">
      <w:pPr>
        <w:spacing w:before="3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据此，以下必然为真的是（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D4E940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有些读《史记》的不读《老子》</w:t>
      </w:r>
    </w:p>
    <w:p w14:paraId="72006A1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有些读《史记》的读了《论语》</w:t>
      </w:r>
    </w:p>
    <w:p w14:paraId="41BB58A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有些读《诗经》的不读《论语》</w:t>
      </w:r>
    </w:p>
    <w:p w14:paraId="02EFDF8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有些读《诗经》的读了《史记》</w:t>
      </w:r>
    </w:p>
    <w:p w14:paraId="0289E44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某中学举行第三十二届田径运动会，表现突出的参赛选手将被授予“体育道德风尚奖”。有人对获奖结</w:t>
      </w:r>
    </w:p>
    <w:p w14:paraId="26949B8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果作了如下预测：</w:t>
      </w:r>
    </w:p>
    <w:p w14:paraId="3290E300">
      <w:pPr>
        <w:spacing w:before="87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B41CB1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1F6EC9D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CC75BA0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96FB238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050FB5D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9" o:spid="_x0000_s1045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20" o:spid="_x0000_s1046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21" o:spid="_x0000_s1047" o:spt="75" type="#_x0000_t75" style="position:absolute;left:0pt;margin-left:47pt;margin-top:65.05pt;height:104.05pt;width:419.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甲：要么小亮获奖，要么小玲获奖。</w:t>
      </w:r>
    </w:p>
    <w:p w14:paraId="40E77D2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乙：只有小明获奖，小红才能获奖。</w:t>
      </w:r>
    </w:p>
    <w:p w14:paraId="5B452DB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丙：我认为小明不能获奖，而小红一定获奖。</w:t>
      </w:r>
    </w:p>
    <w:p w14:paraId="4F3434E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丁：如果小亮获奖，那么小明和小红至少一人获奖。</w:t>
      </w:r>
    </w:p>
    <w:p w14:paraId="57FCFC25">
      <w:pPr>
        <w:spacing w:before="3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结果表明，只有一人预测正确。据此，可以必然推出的是（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8D8717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甲正确，小亮获奖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乙正确，小玲获奖</w:t>
      </w:r>
    </w:p>
    <w:p w14:paraId="4DFD783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丙正确，小红获奖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丁正确，小明获奖</w:t>
      </w:r>
    </w:p>
    <w:p w14:paraId="7FEB2F09">
      <w:pPr>
        <w:spacing w:before="17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3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55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7FD05667">
      <w:pPr>
        <w:spacing w:before="17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</w:t>
      </w:r>
    </w:p>
    <w:p w14:paraId="0FCA43E8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2"/>
          <w:sz w:val="21"/>
        </w:rPr>
        <w:t>长期以来，海洋塑料污染一直是全球性的治理难题。2020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年，浙江省率先探索出“市场化垃圾收集-高</w:t>
      </w:r>
    </w:p>
    <w:p w14:paraId="65E8365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值化资源利用-国际化认证增值”海洋塑料污染治理“蓝色循环”模式。该模式始于海洋垃圾收集点，通过</w:t>
      </w:r>
    </w:p>
    <w:p w14:paraId="39F7BD6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回收企业进行市场化收购，沿海居民、渔民参与收集，建立立体收集网络；依托物联网和区块链等技术，</w:t>
      </w:r>
    </w:p>
    <w:p w14:paraId="7C285A0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实现“储存—处置—运输—再生制造”全流程可视化，生成再生塑料的溯源码，标定碳足迹，获得国际权</w:t>
      </w:r>
    </w:p>
    <w:p w14:paraId="4F14417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威机构认证。当地企业与国际企业签订产销合同，打开国际海洋塑料再利用的高端市场，品牌商以高于传</w:t>
      </w:r>
    </w:p>
    <w:p w14:paraId="4FB5296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统再生塑料约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165%的价格进行采购回收，实现国际化认证增值。</w:t>
      </w:r>
    </w:p>
    <w:p w14:paraId="5BCE4807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政府引导组建的“蓝色联盟”组织，提取海洋塑料高值利用溢价的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楷体" w:hAnsi="楷体" w:cs="楷体"/>
          <w:color w:val="000000"/>
          <w:spacing w:val="-3"/>
          <w:sz w:val="21"/>
        </w:rPr>
        <w:t>20%，设立“共富基金”。该基金用</w:t>
      </w:r>
    </w:p>
    <w:p w14:paraId="00A8163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于提高回收价格、缴纳社保等，并提供物资补贴、绿色信贷等增值服务。“蓝色循环”模式兼顾治理海洋塑</w:t>
      </w:r>
    </w:p>
    <w:p w14:paraId="7963240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料污染、挖掘经济效益和推动共同富裕，实现了生态与富民共赢，为破解海洋塑料污染治理难题提供了中</w:t>
      </w:r>
    </w:p>
    <w:p w14:paraId="7834A04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国方案。2023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年，该模式获得联合国“地球卫士奖”。</w:t>
      </w:r>
    </w:p>
    <w:p w14:paraId="69F217E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结合材料并运用《经济与社会》知识，说明“蓝色循环”模式如何通过市场机制破解海洋塑料污染治理难</w:t>
      </w:r>
    </w:p>
    <w:p w14:paraId="2803798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题。</w:t>
      </w:r>
    </w:p>
    <w:p w14:paraId="70177E3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</w:t>
      </w:r>
    </w:p>
    <w:p w14:paraId="03115FF7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/>
          <w:color w:val="000000"/>
          <w:spacing w:val="0"/>
          <w:sz w:val="21"/>
        </w:rPr>
        <w:t>2000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7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日起施行的《中华人民共和国立法法》规定，省、自治区、直辖市的人民代表大会及其</w:t>
      </w:r>
    </w:p>
    <w:p w14:paraId="011FD12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常务委员会根据本行政区域的具体情况和实际需要，在不同宪法、法律、行政法规相抵触的前提下，可以</w:t>
      </w:r>
    </w:p>
    <w:p w14:paraId="095BE3E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制定地方性法规。</w:t>
      </w:r>
    </w:p>
    <w:p w14:paraId="6A32FE58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江西省是长江中下游地区湿地资源最丰富的省份之一。为加强湿地保护，促进湿地资源可持续利用，</w:t>
      </w:r>
    </w:p>
    <w:p w14:paraId="5A11899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早在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2012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-10"/>
          <w:sz w:val="21"/>
        </w:rPr>
        <w:t>月，江西省人大常委会就通过了《江西省湿地保护条例》（以下简称“《条例》”）。这是我国</w:t>
      </w:r>
    </w:p>
    <w:p w14:paraId="185A533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关于湿地保护较早的地方性法规之一，为国家湿地保护立法进行了先行探索。2021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12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24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-20"/>
          <w:sz w:val="21"/>
        </w:rPr>
        <w:t>日，《中华人</w:t>
      </w:r>
    </w:p>
    <w:p w14:paraId="12372C5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民共和国湿地保护法》正式出台，为强化湿地保护和修复提供了法律依据。2024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9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月，江西省人大常委</w:t>
      </w:r>
    </w:p>
    <w:p w14:paraId="2C6F30BF">
      <w:pPr>
        <w:spacing w:before="50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5E1BC9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C16CC2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18C0F83">
      <w:pPr>
        <w:sectPr>
          <w:pgSz w:w="11900" w:h="16840"/>
          <w:pgMar w:top="154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0A69D92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0" w:name="_GoBack"/>
      <w:bookmarkEnd w:id="0"/>
    </w:p>
    <w:p w14:paraId="3DDE8080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22" o:spid="_x0000_s1048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23" o:spid="_x0000_s1049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24" o:spid="_x0000_s1050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25" o:spid="_x0000_s1051" o:spt="75" type="#_x0000_t75" style="position:absolute;left:0pt;margin-left:74.05pt;margin-top:422.25pt;height:68.05pt;width:74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pict>
          <v:shape id="_x000026" o:spid="_x0000_s1052" o:spt="75" type="#_x0000_t75" style="position:absolute;left:0pt;margin-left:74.05pt;margin-top:548.3pt;height:66.55pt;width:71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1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会依法对《条例》进行了修订，全面对标对表《湿地保护法》规定，进一步健全完善了湿地保护体制机制，</w:t>
      </w:r>
    </w:p>
    <w:p w14:paraId="068D02E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努力解决湿地保护实践工作中的现实困难和突出问题；同时，对“鄱阳湖湿地保护的特别规定”专章内容</w:t>
      </w:r>
    </w:p>
    <w:p w14:paraId="65AA781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进行修改完善，进一步突显了鄱阳湖湿地保护的重要性和特殊性。《条例》的深入实施将为赣鄱湿地保护提</w:t>
      </w:r>
    </w:p>
    <w:p w14:paraId="411CB6A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供更加坚实的法治保障，为全国湿地保护事业高质量发展提供更多的“江西经验”</w:t>
      </w:r>
    </w:p>
    <w:p w14:paraId="7C08DD2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结合材料并运用“全面依法治国”知识，分析地方立法在我国社会主义法治建设中的作用。</w:t>
      </w:r>
    </w:p>
    <w:p w14:paraId="574BB09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</w:t>
      </w:r>
    </w:p>
    <w:p w14:paraId="78E8202C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甲救助了一只流浪狗，购置了狗笼、狗粮等物品，并为狗注射了疫苗一年后，甲因工作繁忙便让好友</w:t>
      </w:r>
    </w:p>
    <w:p w14:paraId="3E2DC30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乙帮忙照顾狗，并经常去探望。某日，乙在公园遛狗。在公园游玩的丙（10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周岁）取得乙同意后，与狗一</w:t>
      </w:r>
    </w:p>
    <w:p w14:paraId="5ABCFAA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起玩闹，朝狗大声叫喊。不料，狗突然挣脱绳索狂跑。路过的丁受到惊吓，躲闪中不慎跌倒骨折，用去医</w:t>
      </w:r>
    </w:p>
    <w:p w14:paraId="095A549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疗费若干元。</w:t>
      </w:r>
    </w:p>
    <w:p w14:paraId="42F6C52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运用《法律与生活》知识，回答本案中丁有权向哪些民事主体请求赔偿并说明理由。</w:t>
      </w:r>
    </w:p>
    <w:p w14:paraId="7259EAC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</w:t>
      </w:r>
    </w:p>
    <w:p w14:paraId="695C0D2E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人工智能正深刻改变世界。如何看待人工智能带来的影响，成为我们必须深入思考和回答的重要课题。</w:t>
      </w:r>
    </w:p>
    <w:p w14:paraId="58BE6A8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近日，某班开展了“人工智能与未来发展”主题讨论会，方方和圆圆通过了解人工智能的发展状况，为其</w:t>
      </w:r>
    </w:p>
    <w:p w14:paraId="4999EEF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“画像”。</w:t>
      </w:r>
    </w:p>
    <w:p w14:paraId="6390D97D">
      <w:pPr>
        <w:spacing w:before="794" w:after="0" w:line="220" w:lineRule="exact"/>
        <w:ind w:left="187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人工智能是“推进器”。它赋能传统产业转型升级，让“中国制造”加速迈向“中国</w:t>
      </w:r>
    </w:p>
    <w:p w14:paraId="1065F50A">
      <w:pPr>
        <w:spacing w:before="79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智造”；促进智能穿戴、智能家居等新兴产业蓬勃发展，创造出新的经济增长点和就业岗位。人工智能还</w:t>
      </w:r>
    </w:p>
    <w:p w14:paraId="568661D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深入到医疗、教育、交通等领域，有利于提升生活品质。</w:t>
      </w:r>
    </w:p>
    <w:p w14:paraId="12CFFCD9">
      <w:pPr>
        <w:spacing w:before="794" w:after="0" w:line="220" w:lineRule="exact"/>
        <w:ind w:left="181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人工智能是“危险品”。它输出的虚假信息会造成误导，算法推荐可能导致“信息茧</w:t>
      </w:r>
    </w:p>
    <w:p w14:paraId="415008D6">
      <w:pPr>
        <w:spacing w:before="79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2"/>
          <w:sz w:val="21"/>
        </w:rPr>
        <w:t>房”。长期过度依赖人工智能会使人产生孤独和焦虑等不良情绪，削弱人的社会适应能力。“人工智能+”</w:t>
      </w:r>
    </w:p>
    <w:p w14:paraId="4834494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落地运用会影响社会分工，可能使部分劳动者面临失业或转型危机。</w:t>
      </w:r>
    </w:p>
    <w:p w14:paraId="346310F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）运用《逻辑与思维》中辩证思维知识，评析两位同学所提交的“画像”。</w:t>
      </w:r>
    </w:p>
    <w:p w14:paraId="1364CF7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）结合材料并运用“社会历史发展的规律”知识，分析人工智能对生产方式带来的深刻影响。</w:t>
      </w:r>
    </w:p>
    <w:p w14:paraId="4EFA802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78AA6516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中国和越南是山水相连的社会主义友好邻邦。中越关系的根基在人民、未来在青年。2024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月中旬，</w:t>
      </w:r>
    </w:p>
    <w:p w14:paraId="5A0B86D4">
      <w:pPr>
        <w:spacing w:before="27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702C11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148C28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048FC56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27" o:spid="_x0000_s1053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28" o:spid="_x0000_s1054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29" o:spid="_x0000_s1055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以“续传统友谊，携手开创未来，为主题的第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23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届中越青年友好会见活动在广西南宁举办，来自中国和越</w:t>
      </w:r>
    </w:p>
    <w:p w14:paraId="487789A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南的约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名青年代表参加相关活动。活动期间，越南青年代表走进社区、学校、企业、产业园区、博物</w:t>
      </w:r>
    </w:p>
    <w:p w14:paraId="36751DB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馆，开展参观考察、座谈交流、文化体验等活动，为推动构建中越命运共同体凝聚了青年共识。</w:t>
      </w:r>
    </w:p>
    <w:p w14:paraId="0B68C0D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运用《当代国际政治与经济》知识，以“青年与中越关系的未来”为主题，就上述活动写一篇短评。要求：</w:t>
      </w:r>
    </w:p>
    <w:p w14:paraId="619693F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观点明确；逻辑清晰；表述规范；200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字以内。</w:t>
      </w:r>
    </w:p>
    <w:p w14:paraId="26127FE4">
      <w:pPr>
        <w:spacing w:before="11827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5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4930AF8C-9B3A-4451-A415-16C0C6588D96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4B3F55D1-25D3-466D-AACA-333D38380AA7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2CF12A8D-BD9D-44FA-B469-7037051F7E7B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382EAFBD-D50E-421D-8B37-F1A9128766B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7A16D723-BFBC-406D-97FB-0AE8DCBF468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E19E66E7-1E6C-47A8-9574-67857AAF87BB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33C0A7D4-D5A0-4450-8EE0-04BE7E88F149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F5DBF47A-F810-4607-B1C9-8126389E5BB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E2900B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E42C8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6B56F3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6A12E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61AC3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1F668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2B194C7D"/>
    <w:rsid w:val="303B144C"/>
    <w:rsid w:val="698D11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qFormat="1" w:unhideWhenUsed="0" w:uiPriority="4294967295" w:semiHidden="0" w:name="header"/>
    <w:lsdException w:qFormat="1"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qFormat="1"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unhideWhenUsed="0" w:uiPriority="4294967295" w:semiHidden="0" w:name="Normal Table"/>
    <w:lsdException w:unhideWhenUsed="0" w:uiPriority="4294967295" w:semiHidden="0" w:name="annotation subject"/>
    <w:lsdException w:qFormat="1"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footer"/>
    <w:basedOn w:val="1"/>
    <w:qFormat/>
    <w:uiPriority w:val="4294967295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4294967295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14</Pages>
  <Words>4667</Words>
  <Characters>4824</Characters>
  <Lines>0</Lines>
  <Paragraphs>173</Paragraphs>
  <TotalTime>3</TotalTime>
  <ScaleCrop>false</ScaleCrop>
  <LinksUpToDate>false</LinksUpToDate>
  <CharactersWithSpaces>5035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2025-10-07T20:36:00Z</dcterms:created>
  <dc:creator>Administrator</dc:creator>
  <cp:lastModifiedBy>上帝掷骰子吗</cp:lastModifiedBy>
  <dcterms:modified xsi:type="dcterms:W3CDTF">2026-02-10T06:56:26Z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E1CF7659BF6E49FF9F9A6CD33C4D3F50_12</vt:lpwstr>
  </property>
</Properties>
</file>