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93772B">
      <w:pPr>
        <w:spacing w:before="0" w:after="0" w:line="359" w:lineRule="exact"/>
        <w:ind w:left="1754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_GoBack"/>
      <w:bookmarkEnd w:id="0"/>
      <w:r>
        <w:pict>
          <v:shape id="_x00000" o:spid="_x0000_s1026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" o:spid="_x0000_s1027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2" o:spid="_x0000_s1028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3" o:spid="_x0000_s1029" o:spt="75" type="#_x0000_t75" style="position:absolute;left:0pt;margin-left:217.35pt;margin-top:301.45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32"/>
        </w:rPr>
        <w:t>四川省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年普通高中学业水平选择性考试</w:t>
      </w:r>
    </w:p>
    <w:p w14:paraId="79D8C3AB">
      <w:pPr>
        <w:spacing w:before="275" w:after="0" w:line="325" w:lineRule="exact"/>
        <w:ind w:left="4234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思想政治</w:t>
      </w:r>
    </w:p>
    <w:p w14:paraId="6ED84EF1">
      <w:pPr>
        <w:spacing w:before="21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00D04D6B"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</w:t>
      </w:r>
      <w:r>
        <w:rPr>
          <w:rFonts w:ascii="宋体" w:hAnsi="宋体" w:cs="宋体"/>
          <w:color w:val="000000"/>
          <w:spacing w:val="1"/>
          <w:sz w:val="24"/>
        </w:rPr>
        <w:t>．考生领到答题卡后，须在规定区域填写本人的姓名、准考证号和座位号，并在答题卡背面</w:t>
      </w:r>
    </w:p>
    <w:p w14:paraId="79992A5F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用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2B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铅笔填涂座位号。</w:t>
      </w:r>
    </w:p>
    <w:p w14:paraId="26547E1D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</w:t>
      </w:r>
      <w:r>
        <w:rPr>
          <w:rFonts w:ascii="宋体" w:hAnsi="宋体" w:cs="宋体"/>
          <w:color w:val="000000"/>
          <w:spacing w:val="3"/>
          <w:sz w:val="24"/>
        </w:rPr>
        <w:t>．考生回答选择题时，选出每小题答案后，须用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2B </w:t>
      </w:r>
      <w:r>
        <w:rPr>
          <w:rFonts w:ascii="宋体" w:hAnsi="宋体" w:cs="宋体"/>
          <w:color w:val="000000"/>
          <w:spacing w:val="3"/>
          <w:sz w:val="24"/>
        </w:rPr>
        <w:t>铅笔将答题卡上对应题目的答案标号涂</w:t>
      </w:r>
    </w:p>
    <w:p w14:paraId="7B9C2B7A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3"/>
          <w:sz w:val="24"/>
        </w:rPr>
        <w:t>黑，如需改动，用橡皮擦干净后，再选涂其他答案标号。考生回答非选择题时，须用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0.5mm</w:t>
      </w:r>
    </w:p>
    <w:p w14:paraId="5D1ECB5B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黑色字迹签字笔将答案写在答题卡上。选择题和非选择题的答案写在试卷或草稿纸上无效。</w:t>
      </w:r>
    </w:p>
    <w:p w14:paraId="0E00C074"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</w:t>
      </w:r>
      <w:r>
        <w:rPr>
          <w:rFonts w:ascii="宋体" w:hAnsi="宋体" w:cs="宋体"/>
          <w:color w:val="000000"/>
          <w:spacing w:val="1"/>
          <w:sz w:val="24"/>
        </w:rPr>
        <w:t>．考生不得将试卷、答题卡和草稿纸带离考场，考试结束后由监考员统一回收。</w:t>
      </w:r>
    </w:p>
    <w:p w14:paraId="1BE22C6A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5"/>
          <w:sz w:val="24"/>
        </w:rPr>
        <w:t>一、单项选择题：本题共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16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5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6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分。在每小题给出的四个选项中，只</w:t>
      </w:r>
    </w:p>
    <w:p w14:paraId="5EC1EF57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有一项是最符合题目要求的。</w:t>
      </w:r>
    </w:p>
    <w:p w14:paraId="2A00B94A">
      <w:pPr>
        <w:spacing w:before="2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1. </w:t>
      </w:r>
      <w:r>
        <w:rPr>
          <w:rFonts w:ascii="宋体"/>
          <w:color w:val="000000"/>
          <w:spacing w:val="0"/>
          <w:sz w:val="21"/>
        </w:rPr>
        <w:t>17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世纪和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18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世纪从事制造蒸汽机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人们没有料到，他们制作的工具，比其他任何东西都更能使全世界的</w:t>
      </w:r>
    </w:p>
    <w:p w14:paraId="0D000C80">
      <w:pPr>
        <w:spacing w:before="27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社会状态发生革命。正如马克思恩格斯在《德意志意识形态》中指出的那样，“大工业创造了交通工具和现</w:t>
      </w:r>
    </w:p>
    <w:p w14:paraId="59CAD1D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代的世界市场，控制了商业，把所有的资本都变为工业资本，从而使流通加速（货币制度得到发展）、资本</w:t>
      </w:r>
    </w:p>
    <w:p w14:paraId="6EA12FC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3"/>
          <w:sz w:val="21"/>
        </w:rPr>
        <w:t>集中。”这说明（</w:t>
      </w:r>
      <w:r>
        <w:rPr>
          <w:rFonts w:ascii="Times New Roman"/>
          <w:color w:val="000000"/>
          <w:spacing w:val="27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394898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①生产力是社会发展的最终决定力量</w:t>
      </w:r>
    </w:p>
    <w:p w14:paraId="37CF4F1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②资本主义基本矛盾具有不同的表现形式</w:t>
      </w:r>
    </w:p>
    <w:p w14:paraId="2637105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③生产工具创新为生产关系变革提供重要条件</w:t>
      </w:r>
    </w:p>
    <w:p w14:paraId="2A3F1270">
      <w:pPr>
        <w:spacing w:before="248" w:after="0" w:line="220" w:lineRule="exact"/>
        <w:ind w:left="10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④生产关系是社会进步的根本内容和衡量尺度</w:t>
      </w:r>
    </w:p>
    <w:p w14:paraId="0B709B6E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3DF807B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2. 2025 </w:t>
      </w:r>
      <w:r>
        <w:rPr>
          <w:rFonts w:ascii="宋体" w:hAnsi="宋体" w:cs="宋体"/>
          <w:color w:val="000000"/>
          <w:spacing w:val="0"/>
          <w:sz w:val="21"/>
        </w:rPr>
        <w:t>年两会期间“投资于人”成为热词。近年来，从中央到地方发布包括购房补贴、税收减免等“福利</w:t>
      </w:r>
    </w:p>
    <w:p w14:paraId="21B6A13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包”的人才支持政策，在就业、医疗、养老、教育等方面推出多项惠民举措，都是对“投资于人”理念的</w:t>
      </w:r>
    </w:p>
    <w:p w14:paraId="7816C7D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注解。这说明“投资于人”（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D74052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①是保障和改善民生福祉的根本性制度安排</w:t>
      </w:r>
    </w:p>
    <w:p w14:paraId="40AF391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②有利于形成经济发展与民生改善的良性循环</w:t>
      </w:r>
    </w:p>
    <w:p w14:paraId="3E16D83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③有助于提升投资效率以增强经济发展的韧性</w:t>
      </w:r>
    </w:p>
    <w:p w14:paraId="643ED8B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④是坚持以人民为中心的发展思想的具体体现</w:t>
      </w:r>
    </w:p>
    <w:p w14:paraId="385FE8B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09D8A15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以同质化、价格战为典型特征的“内卷式”竞争，正在成为企业创新发展的重要堵点。某科技企业清醒</w:t>
      </w:r>
    </w:p>
    <w:p w14:paraId="6411591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认识到，内卷没有出路，关键在于修好内功。为此，该企业从通讯拓展至家电、智能汽车等行业，并同步</w:t>
      </w:r>
    </w:p>
    <w:p w14:paraId="20FFF96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升级产品性能和服务。对于该企业修好内功，以下说法正确的是（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30219D1">
      <w:pPr>
        <w:spacing w:before="5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6EEB77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8125A7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79E76ED">
      <w:pPr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74142D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8425720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4" o:spid="_x0000_s1030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5" o:spid="_x0000_s1031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6" o:spid="_x0000_s1032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①适应市场变化及时调整经营战略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②扩大规模降低成本以获得竞争优势</w:t>
      </w:r>
    </w:p>
    <w:p w14:paraId="033B131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③提供高附加值产品以提升消费者体验</w:t>
      </w:r>
      <w:r>
        <w:rPr>
          <w:rFonts w:ascii="Times New Roman"/>
          <w:color w:val="000000"/>
          <w:spacing w:val="4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④采用差异化策略是企业摆脱困境的根本出路</w:t>
      </w:r>
    </w:p>
    <w:p w14:paraId="40245D3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1713D08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4. 2025</w:t>
      </w:r>
      <w:r>
        <w:rPr>
          <w:rFonts w:ascii="Times New Roman"/>
          <w:color w:val="000000"/>
          <w:spacing w:val="-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年我国政府拟发行超长期特别国债预计比上年增加</w:t>
      </w:r>
      <w:r>
        <w:rPr>
          <w:rFonts w:ascii="Times New Roman"/>
          <w:color w:val="000000"/>
          <w:spacing w:val="-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3000</w:t>
      </w:r>
      <w:r>
        <w:rPr>
          <w:rFonts w:ascii="Times New Roman"/>
          <w:color w:val="000000"/>
          <w:spacing w:val="-9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亿元。某地堤防加固工程项目总投资额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3.96</w:t>
      </w:r>
    </w:p>
    <w:p w14:paraId="43E0A9A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3"/>
          <w:sz w:val="21"/>
        </w:rPr>
        <w:t>亿元，其中超长期特别国债支持额度占总投资约七成。项目建成后，将大大提升泄洪能力，保障沿河</w:t>
      </w:r>
      <w:r>
        <w:rPr>
          <w:rFonts w:ascii="Times New Roman"/>
          <w:color w:val="000000"/>
          <w:spacing w:val="8"/>
          <w:sz w:val="21"/>
        </w:rPr>
        <w:t xml:space="preserve"> </w:t>
      </w:r>
      <w:r>
        <w:rPr>
          <w:rFonts w:ascii="Times New Roman"/>
          <w:color w:val="000000"/>
          <w:spacing w:val="-4"/>
          <w:sz w:val="21"/>
        </w:rPr>
        <w:t>110</w:t>
      </w:r>
    </w:p>
    <w:p w14:paraId="11C949F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万群众及铁路动脉的安全。上述材料体现出政府（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6504B5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①优化投资结构，保障基本民生领域支出</w:t>
      </w:r>
    </w:p>
    <w:p w14:paraId="2E14F75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②实施适度宽松的货币政策，为项目提供支撑</w:t>
      </w:r>
    </w:p>
    <w:p w14:paraId="2E0C6ED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③使用超长期特别国债，释放更加积极的财政政策信号</w:t>
      </w:r>
    </w:p>
    <w:p w14:paraId="00E047A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④有效发挥经济职能的作用，有利于地区经济社会发展</w:t>
      </w:r>
    </w:p>
    <w:p w14:paraId="49999DA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169CF2F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1"/>
          <w:sz w:val="21"/>
        </w:rPr>
        <w:t>市以“产业链党建”激活产业协同发展新动能，通过把党组织建在链上、服务做在链上、资源聚在链</w:t>
      </w:r>
    </w:p>
    <w:p w14:paraId="541BDF4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上，形成牵引辐射效应，破解“链不上”“链不紧”“链不强”等问题，赋能推动特色优势产业和战略性</w:t>
      </w:r>
    </w:p>
    <w:p w14:paraId="0736FD6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新兴产业集群成链、向新向好。产业链党建（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5AEF5D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①有利于发挥党组织配置经济资源的作用</w:t>
      </w:r>
    </w:p>
    <w:p w14:paraId="064F733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②有利于党在产业链上更好发挥组织优势</w:t>
      </w:r>
    </w:p>
    <w:p w14:paraId="486D9F4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③实现了党的组织建设与纪律建设有机融合</w:t>
      </w:r>
    </w:p>
    <w:p w14:paraId="31B0F3C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④是加强党对经济工作全面领导的有效途径</w:t>
      </w:r>
    </w:p>
    <w:p w14:paraId="5A0EA5E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5DC1B07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为更好地给新行业和新就业形态劳动者提供法律服务，某市委网信办在互联网企业、网络主播聚集地，</w:t>
      </w:r>
    </w:p>
    <w:p w14:paraId="34888AD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线下开展大型普法宣传活动，线上开设普法栏目“微夜校”，为辖区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450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家互联网企业和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1200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余名网络主</w:t>
      </w:r>
    </w:p>
    <w:p w14:paraId="3E9D18CD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播提供精准法律服务。该市委网信办的做法（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7C6865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①以普法内容的创新增强普法效果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②把更多普法对象转变成了普法主体</w:t>
      </w:r>
    </w:p>
    <w:p w14:paraId="0D5DAB4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③能增强新就业形态劳动者的法治意识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④为新行业健康发展营造良好法治环境</w:t>
      </w:r>
    </w:p>
    <w:p w14:paraId="5EC1592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5DF14E9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某全国政协委员优秀履职奖获得者有一套“履职三字经”：以“实”字为本，躬行千里路，用调研厚度</w:t>
      </w:r>
    </w:p>
    <w:p w14:paraId="00915A0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提升意见和建议精度；以“活”字破题，用鲜活故事和生动语言，接地气地凝聚共识；以“融”字连心，</w:t>
      </w:r>
    </w:p>
    <w:p w14:paraId="6614AD8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深入界别群众、行业代表，倾听基层呼声，通过协商讨论，把群众期盼变成政协会议上的意见和建议。由</w:t>
      </w:r>
    </w:p>
    <w:p w14:paraId="74E955E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此可知（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43BA53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①开展调查研究是政协委员履职的重要方式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②增进共识、促进团结是人民政协的两大主题</w:t>
      </w:r>
    </w:p>
    <w:p w14:paraId="6D5C9B2A">
      <w:pPr>
        <w:spacing w:before="1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818F02D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52B945C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174BA0B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7" o:spid="_x0000_s1033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8" o:spid="_x0000_s1034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9" o:spid="_x0000_s1035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" o:title=""/>
            <o:lock v:ext="edit" aspectratio="t"/>
          </v:shape>
        </w:pict>
      </w:r>
      <w:r>
        <w:pict>
          <v:shape id="_x000010" o:spid="_x0000_s1036" o:spt="75" type="#_x0000_t75" style="position:absolute;left:0pt;margin-left:53pt;margin-top:254.85pt;height:199.35pt;width:140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③反映社情民意有利于人民政协更好履行职能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④凝聚共识是对政协委员行使国家权力的基本要求</w:t>
      </w:r>
    </w:p>
    <w:p w14:paraId="1EE8CD7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42A25F9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8. 2025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月，习近平总书记在贵州、云南考察期间，谈及怎么抓好旅游时强调，“要保留自己的特色，抓</w:t>
      </w:r>
    </w:p>
    <w:p w14:paraId="1085D01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好人无我有的东西”。由此可知，解决国内文旅产业发展问题需要（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445E57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①有舍有得，打造难以取代的优势</w:t>
      </w:r>
      <w:r>
        <w:rPr>
          <w:rFonts w:ascii="Times New Roman"/>
          <w:color w:val="000000"/>
          <w:spacing w:val="4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②破旧立新，推进产业的全面转型</w:t>
      </w:r>
    </w:p>
    <w:p w14:paraId="002A63B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③错位发展，形成多元互补的格局</w:t>
      </w:r>
      <w:r>
        <w:rPr>
          <w:rFonts w:ascii="Times New Roman"/>
          <w:color w:val="000000"/>
          <w:spacing w:val="4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④全盘抓取，规划文旅的整体蓝图</w:t>
      </w:r>
    </w:p>
    <w:p w14:paraId="3D25AB4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6AD54FF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</w:rPr>
        <w:t>结合下面漫画《舒适区》（作者：张爱学），一个人能否走出“舒适区”，最终取决于（</w:t>
      </w:r>
      <w:r>
        <w:rPr>
          <w:rFonts w:ascii="Times New Roman"/>
          <w:color w:val="000000"/>
          <w:spacing w:val="2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40A6FAE">
      <w:pPr>
        <w:spacing w:before="42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个人意愿是否强烈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有无外界环境限制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是否洞察事实真相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行动是否真正有效</w:t>
      </w:r>
    </w:p>
    <w:p w14:paraId="285FC34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29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《二十四节气·花间十二声》以现代舞的方式呈现中国农耕社会的生产生活状况，演绎天人合一的哲学</w:t>
      </w:r>
    </w:p>
    <w:p w14:paraId="4FA9D05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思想。编导认为，艺术对于观众的价值，重点不在于是否看懂现代舞这种艺术形式，而是通过艺术丰富自</w:t>
      </w:r>
    </w:p>
    <w:p w14:paraId="77B23A7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己的生命与体悟。上述材料说明（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4E9B8B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①艺术与生活融合有助于激发优秀传统文化的生命力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②启迪心智体现了优秀传统文化创造性转化的价值</w:t>
      </w:r>
    </w:p>
    <w:p w14:paraId="6B19FC3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③现代舞与优秀传统文化交融要坚持取长补短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④现代艺术演绎优秀传统文化要尊重表现形式</w:t>
      </w:r>
    </w:p>
    <w:p w14:paraId="2B70629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6445361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为应对全球经济的不确定性，我国从发布《</w:t>
      </w:r>
      <w:r>
        <w:rPr>
          <w:rFonts w:ascii="Times New Roman"/>
          <w:color w:val="000000"/>
          <w:spacing w:val="0"/>
          <w:sz w:val="21"/>
        </w:rPr>
        <w:t>2025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宋体" w:hAnsi="宋体" w:cs="宋体"/>
          <w:color w:val="000000"/>
          <w:spacing w:val="-10"/>
          <w:sz w:val="21"/>
        </w:rPr>
        <w:t>年稳外资行动方案》，到出台《提振消费专项行动方案》，</w:t>
      </w:r>
    </w:p>
    <w:p w14:paraId="483B74E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再到公布《实施〈中华人民共和国反外国制裁法〉的规定》：从加快发展新质生产力，到激发新产业投资动</w:t>
      </w:r>
    </w:p>
    <w:p w14:paraId="302C2C5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能，再到多部门集体发声力挺资本市场……中国的政策“工具箱”储备充分，措施应对有力，有底气成为世</w:t>
      </w:r>
    </w:p>
    <w:p w14:paraId="5DA4409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界经济的“增长引擎”。由此可知（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E0EDBB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①贸易分歧应通过平等对话来解决</w:t>
      </w:r>
      <w:r>
        <w:rPr>
          <w:rFonts w:ascii="Times New Roman"/>
          <w:color w:val="000000"/>
          <w:spacing w:val="4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②中国以政策组合拳吸引内外资本</w:t>
      </w:r>
    </w:p>
    <w:p w14:paraId="720F4DF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③中国采取正当反制措施抵御风险</w:t>
      </w:r>
      <w:r>
        <w:rPr>
          <w:rFonts w:ascii="Times New Roman"/>
          <w:color w:val="000000"/>
          <w:spacing w:val="4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④对外经贸关系的本质是互利共赢</w:t>
      </w:r>
    </w:p>
    <w:p w14:paraId="1FBF6F69">
      <w:pPr>
        <w:spacing w:before="27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F8A04B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5A6D37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C93DDA9">
      <w:pPr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3DF5958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BD105B6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1" o:spid="_x0000_s1037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2" o:spid="_x0000_s1038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13" o:spid="_x0000_s1039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4" o:spid="_x0000_s1040" o:spt="75" type="#_x0000_t75" style="position:absolute;left:0pt;margin-left:152.8pt;margin-top:655.65pt;height:15.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pict>
          <v:shape id="_x000015" o:spid="_x0000_s1041" o:spt="75" type="#_x0000_t75" style="position:absolute;left:0pt;margin-left:275.85pt;margin-top:725.45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752784B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12. 2025 </w:t>
      </w:r>
      <w:r>
        <w:rPr>
          <w:rFonts w:ascii="宋体" w:hAnsi="宋体" w:cs="宋体"/>
          <w:color w:val="000000"/>
          <w:spacing w:val="0"/>
          <w:sz w:val="21"/>
        </w:rPr>
        <w:t>年第一季度，我国入境外国人共计</w:t>
      </w:r>
      <w:r>
        <w:rPr>
          <w:rFonts w:ascii="Times New Roman"/>
          <w:color w:val="000000"/>
          <w:spacing w:val="0"/>
          <w:sz w:val="21"/>
        </w:rPr>
        <w:t xml:space="preserve"> 921.5 </w:t>
      </w:r>
      <w:r>
        <w:rPr>
          <w:rFonts w:ascii="宋体" w:hAnsi="宋体" w:cs="宋体"/>
          <w:color w:val="000000"/>
          <w:spacing w:val="0"/>
          <w:sz w:val="21"/>
        </w:rPr>
        <w:t>万人次，较去年同期增长</w:t>
      </w:r>
      <w:r>
        <w:rPr>
          <w:rFonts w:ascii="Times New Roman"/>
          <w:color w:val="000000"/>
          <w:spacing w:val="0"/>
          <w:sz w:val="21"/>
        </w:rPr>
        <w:t xml:space="preserve"> 40.2%</w:t>
      </w:r>
      <w:r>
        <w:rPr>
          <w:rFonts w:ascii="宋体" w:hAnsi="宋体" w:cs="宋体"/>
          <w:color w:val="000000"/>
          <w:spacing w:val="0"/>
          <w:sz w:val="21"/>
        </w:rPr>
        <w:t>。这离不开我国实施的各</w:t>
      </w:r>
    </w:p>
    <w:p w14:paraId="5A8395A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项免签政策，为外国游客提供更长停留时间和更大活动范围：也离不开持续简化来华签证流程，推出离境</w:t>
      </w:r>
    </w:p>
    <w:p w14:paraId="50B878B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退税“即买即退”等便利举措，让“中国游”越来越丝滑。由此可知，我国（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5FDF31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①实行更加积极主动的开放战略拥抱世界</w:t>
      </w:r>
      <w:r>
        <w:rPr>
          <w:rFonts w:ascii="Times New Roman"/>
          <w:color w:val="000000"/>
          <w:spacing w:val="4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②依托超大规模市场优势促进国内大循环</w:t>
      </w:r>
    </w:p>
    <w:p w14:paraId="1392A7E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③通过优化自身相关措施提升国际吸引力</w:t>
      </w:r>
      <w:r>
        <w:rPr>
          <w:rFonts w:ascii="Times New Roman"/>
          <w:color w:val="000000"/>
          <w:spacing w:val="4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④与其他国家联动推进全球经济平衡发展</w:t>
      </w:r>
    </w:p>
    <w:p w14:paraId="5D08A555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7CA0D41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任某因急于寻找丢失的手机，公开承诺“谁捡到手机并归还，将给予酬金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950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元”。叶某捡到了该手机，</w:t>
      </w:r>
    </w:p>
    <w:p w14:paraId="226040C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归还时要求任某信守承诺支付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950 </w:t>
      </w:r>
      <w:r>
        <w:rPr>
          <w:rFonts w:ascii="宋体" w:hAnsi="宋体" w:cs="宋体"/>
          <w:color w:val="000000"/>
          <w:spacing w:val="2"/>
          <w:sz w:val="21"/>
        </w:rPr>
        <w:t>元酬金。任某却以拾金不昧为由拒付酬金，双方因此产生争执。对此，</w:t>
      </w:r>
    </w:p>
    <w:p w14:paraId="61B4F6A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以下说法正确的是（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C81682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①任某应当支付酬金</w:t>
      </w:r>
      <w:r>
        <w:rPr>
          <w:rFonts w:ascii="Times New Roman"/>
          <w:color w:val="000000"/>
          <w:spacing w:val="12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②叶某无权要求酬金</w:t>
      </w:r>
    </w:p>
    <w:p w14:paraId="2A2D24D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③任某可与叶某商定具体酬金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④叶某因任某未先付酬金可质押手机</w:t>
      </w:r>
    </w:p>
    <w:p w14:paraId="2095E84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26A1673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甲公司拥有品牌茶叶“绿某叶”注册商标，商业信誉良好。乙公司生产了一批茶叶，贴标识为“系列绿</w:t>
      </w:r>
    </w:p>
    <w:p w14:paraId="2D4807C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某叶茶”“茶系列绿某叶”，交给丙公司售卖。甲公司诉至人民法院状告乙、丙公司侵权。以下说法正确</w:t>
      </w:r>
    </w:p>
    <w:p w14:paraId="48F84C1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07078D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①甲公司对自己的主张无需提供证据</w:t>
      </w:r>
    </w:p>
    <w:p w14:paraId="351A25C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②乙公司的行为属于不正当竞争行为</w:t>
      </w:r>
    </w:p>
    <w:p w14:paraId="0169A69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③丙公司未侵害甲公司的商标专用权</w:t>
      </w:r>
    </w:p>
    <w:p w14:paraId="1CCD4D2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④乙、丙公司的行为侵害了甲公司权益</w:t>
      </w:r>
    </w:p>
    <w:p w14:paraId="44F94D7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059756E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全国各地都有用盐、醋、酱等调味料腌制蔬菜的传统，这些菜被称为酱腌菜。酱腌菜又被分为酱渍菜、</w:t>
      </w:r>
    </w:p>
    <w:p w14:paraId="5CA3139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酱油渍菜、盐渍菜、酸菜等。泡菜是酸菜的一种，其中四川泡菜又以历史悠久、风味独特而闻名。有人根</w:t>
      </w:r>
    </w:p>
    <w:p w14:paraId="22566DF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据浸泡时间长短，将泡菜分为洗澡泡菜与深水泡菜。在四川泡菜中，老坛（发酵）酸菜又是比较特殊的泡</w:t>
      </w:r>
    </w:p>
    <w:p w14:paraId="3DDAE68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菜，它最能体现四川泡菜的传统风味。根据上述材料，下列说法合乎逻辑的是（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1948A4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酱渍菜与洗澡泡菜</w:t>
      </w:r>
      <w:r>
        <w:rPr>
          <w:rFonts w:ascii="Times New Roman"/>
          <w:color w:val="000000"/>
          <w:spacing w:val="1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同一级关系</w:t>
      </w:r>
      <w:r>
        <w:rPr>
          <w:rFonts w:ascii="Times New Roman"/>
          <w:color w:val="000000"/>
          <w:spacing w:val="157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酱腌菜与老坛（发酵）酸菜是全异关系</w:t>
      </w:r>
    </w:p>
    <w:p w14:paraId="5E1FADB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酱油渍菜与酸菜是反对关系</w:t>
      </w:r>
      <w:r>
        <w:rPr>
          <w:rFonts w:ascii="Times New Roman"/>
          <w:color w:val="000000"/>
          <w:spacing w:val="20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泡菜与酸菜是属种关系</w:t>
      </w:r>
    </w:p>
    <w:p w14:paraId="6E726E9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下列判断或推理正确的是（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2A9514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“张三既会三段论推理，又不会三段论推理”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说法违反了矛盾律，这两个论断中必有一真</w:t>
      </w:r>
    </w:p>
    <w:p w14:paraId="6B9A627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由“甲班有的同学会三段论推理”为真，必然推出“甲班有的同学不会三段论推理”</w:t>
      </w:r>
    </w:p>
    <w:p w14:paraId="13091197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7C2330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10D48CB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D673CB2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6" o:spid="_x0000_s1042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7" o:spid="_x0000_s1043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18" o:spid="_x0000_s1044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9" o:spid="_x0000_s1045" o:spt="75" type="#_x0000_t75" style="position:absolute;left:0pt;margin-left:278.1pt;margin-top:69.55pt;height:17pt;width:14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9" o:title=""/>
            <o:lock v:ext="edit" aspectratio="t"/>
          </v:shape>
        </w:pict>
      </w:r>
      <w:r>
        <w:pict>
          <v:shape id="_x000020" o:spid="_x0000_s1046" o:spt="75" type="#_x0000_t75" style="position:absolute;left:0pt;margin-left:467.95pt;margin-top:579.8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由“李四要么会必然推理，要么会或然推理”</w:t>
      </w:r>
      <w:r>
        <w:rPr>
          <w:rFonts w:ascii="Times New Roman"/>
          <w:color w:val="000000"/>
          <w:spacing w:val="1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假，必然推出“李四不会必然推理，但会或然推理”</w:t>
      </w:r>
    </w:p>
    <w:p w14:paraId="5596A37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由“王五既会运用超前思维，又会运用联想思维”为假，必然推出“王五或者不会运用超前思维，或者</w:t>
      </w:r>
    </w:p>
    <w:p w14:paraId="1FCD843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不会运用联想思维”</w:t>
      </w:r>
    </w:p>
    <w:p w14:paraId="41D2C03B">
      <w:pPr>
        <w:spacing w:before="17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234D53E6">
      <w:pPr>
        <w:spacing w:before="1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02D6A921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面对世界百年未有之大变局，中国坚定不移推进高水平对外开放和中国特色大国外交，向世界展现自</w:t>
      </w:r>
    </w:p>
    <w:p w14:paraId="66FBEC3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信开放的姿态。</w:t>
      </w:r>
    </w:p>
    <w:p w14:paraId="5B1ACD2E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材料一</w:t>
      </w:r>
      <w:r>
        <w:rPr>
          <w:rFonts w:ascii="Times New Roman"/>
          <w:color w:val="000000"/>
          <w:spacing w:val="161"/>
          <w:sz w:val="21"/>
        </w:rPr>
        <w:t xml:space="preserve"> </w:t>
      </w:r>
      <w:r>
        <w:rPr>
          <w:rFonts w:ascii="楷体" w:hAnsi="楷体" w:cs="楷体"/>
          <w:color w:val="000000"/>
          <w:spacing w:val="2"/>
          <w:sz w:val="21"/>
        </w:rPr>
        <w:t>面对外部环境的变化，广东省全力推动外贸稳量提质。以变求变，化挑战为机遇，外贸进出</w:t>
      </w:r>
    </w:p>
    <w:p w14:paraId="12A4EDE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口商品从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2"/>
          <w:sz w:val="21"/>
        </w:rPr>
        <w:t>量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2"/>
          <w:sz w:val="21"/>
        </w:rPr>
        <w:t>和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2"/>
          <w:sz w:val="21"/>
        </w:rPr>
        <w:t>价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2"/>
          <w:sz w:val="21"/>
        </w:rPr>
        <w:t>向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2"/>
          <w:sz w:val="21"/>
        </w:rPr>
        <w:t>智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2"/>
          <w:sz w:val="21"/>
        </w:rPr>
        <w:t>和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2"/>
          <w:sz w:val="21"/>
        </w:rPr>
        <w:t>新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2"/>
          <w:sz w:val="21"/>
        </w:rPr>
        <w:t>转型。强化互联互通，提升通达能力。目前，广东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3 </w:t>
      </w:r>
      <w:r>
        <w:rPr>
          <w:rFonts w:ascii="楷体" w:hAnsi="楷体" w:cs="楷体"/>
          <w:color w:val="000000"/>
          <w:spacing w:val="2"/>
          <w:sz w:val="21"/>
        </w:rPr>
        <w:t>小时可通</w:t>
      </w:r>
    </w:p>
    <w:p w14:paraId="03BC563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达东南亚主要城市，</w:t>
      </w:r>
      <w:r>
        <w:rPr>
          <w:rFonts w:ascii="Times New Roman"/>
          <w:color w:val="000000"/>
          <w:spacing w:val="0"/>
          <w:sz w:val="21"/>
        </w:rPr>
        <w:t xml:space="preserve">455 </w:t>
      </w:r>
      <w:r>
        <w:rPr>
          <w:rFonts w:ascii="楷体" w:hAnsi="楷体" w:cs="楷体"/>
          <w:color w:val="000000"/>
          <w:spacing w:val="0"/>
          <w:sz w:val="21"/>
        </w:rPr>
        <w:t>条国际货运航线覆盖全球主要国家和港口，以高质量贸易通道建设支撑外贸发展。</w:t>
      </w:r>
    </w:p>
    <w:p w14:paraId="69FD69E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锚定制度创新，主动对接国际高标准经贸规则，推动自贸试验区建设，推进外贸、外资、外包、外经、外</w:t>
      </w:r>
    </w:p>
    <w:p w14:paraId="7F3B5EB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智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五外联动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-14"/>
          <w:sz w:val="21"/>
        </w:rPr>
        <w:t>。</w:t>
      </w:r>
      <w:r>
        <w:rPr>
          <w:rFonts w:ascii="Times New Roman"/>
          <w:color w:val="000000"/>
          <w:spacing w:val="0"/>
          <w:sz w:val="21"/>
        </w:rPr>
        <w:t>2024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年，广东进出口总额首次站上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-2"/>
          <w:sz w:val="21"/>
        </w:rPr>
        <w:t>万亿元新台阶，连续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39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年居全国首位，贡献全国近</w:t>
      </w:r>
    </w:p>
    <w:p w14:paraId="179005E5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四成的外贸增量。</w:t>
      </w:r>
    </w:p>
    <w:p w14:paraId="468E8854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中国历史长河中流淌着深厚的睦邻文化血脉。唐朝时期，真腊王室成员到访长安；明朝时期，</w:t>
      </w:r>
    </w:p>
    <w:p w14:paraId="564E91E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航海家郑和</w:t>
      </w:r>
      <w:r>
        <w:rPr>
          <w:rFonts w:ascii="Times New Roman"/>
          <w:color w:val="000000"/>
          <w:spacing w:val="-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Times New Roman"/>
          <w:color w:val="000000"/>
          <w:spacing w:val="-9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次远洋航行中</w:t>
      </w:r>
      <w:r>
        <w:rPr>
          <w:rFonts w:ascii="Times New Roman"/>
          <w:color w:val="000000"/>
          <w:spacing w:val="-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-9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次到访马六甲</w:t>
      </w:r>
      <w:r>
        <w:rPr>
          <w:rFonts w:ascii="宋体" w:hAnsi="宋体" w:cs="宋体"/>
          <w:color w:val="000000"/>
          <w:spacing w:val="-10"/>
          <w:sz w:val="21"/>
        </w:rPr>
        <w:t>……</w:t>
      </w:r>
      <w:r>
        <w:rPr>
          <w:rFonts w:ascii="楷体" w:hAnsi="楷体" w:cs="楷体"/>
          <w:color w:val="000000"/>
          <w:spacing w:val="-3"/>
          <w:sz w:val="21"/>
        </w:rPr>
        <w:t>大国睦邻之道源远流长，周边国家体会最为真实，最为深切。</w:t>
      </w:r>
    </w:p>
    <w:p w14:paraId="7C2BB78F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2025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4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8 </w:t>
      </w:r>
      <w:r>
        <w:rPr>
          <w:rFonts w:ascii="楷体" w:hAnsi="楷体" w:cs="楷体"/>
          <w:color w:val="000000"/>
          <w:spacing w:val="0"/>
          <w:sz w:val="21"/>
        </w:rPr>
        <w:t>日至</w:t>
      </w:r>
      <w:r>
        <w:rPr>
          <w:rFonts w:ascii="Times New Roman"/>
          <w:color w:val="000000"/>
          <w:spacing w:val="0"/>
          <w:sz w:val="21"/>
        </w:rPr>
        <w:t xml:space="preserve"> 9 </w:t>
      </w:r>
      <w:r>
        <w:rPr>
          <w:rFonts w:ascii="楷体" w:hAnsi="楷体" w:cs="楷体"/>
          <w:color w:val="000000"/>
          <w:spacing w:val="0"/>
          <w:sz w:val="21"/>
        </w:rPr>
        <w:t>日召开的中央周边工作会议强调，周边是实现发展繁荣的重要基础。中国高度重</w:t>
      </w:r>
    </w:p>
    <w:p w14:paraId="2123734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视周边，积极推动构建周边命运共同体：已同周边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17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个国家达成构建命运共同体共识，在中南半岛和中亚</w:t>
      </w:r>
    </w:p>
    <w:p w14:paraId="467320E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地区形成命运共同体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两大集群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-3"/>
          <w:sz w:val="21"/>
        </w:rPr>
        <w:t>；已与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12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个陆地邻国通过谈判解决了历史遗留的边界问题，同周边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个</w:t>
      </w:r>
    </w:p>
    <w:p w14:paraId="4884612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国家签署了睦邻友好合作条约。从中国中亚机制成为推进中国和中亚五国深度合作的重要平台，到澜湄合</w:t>
      </w:r>
    </w:p>
    <w:p w14:paraId="1EE8776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作助推澜湄流域经济带蓬勃发展；从中亚班列开通新线路、中吉乌铁路启动，到西部陆海新通道班列年度</w:t>
      </w:r>
    </w:p>
    <w:p w14:paraId="7AAC21C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开行破万列，再到《区域全面经济伙伴关系协定》为促进区域经济一体化赋能增效</w:t>
      </w:r>
      <w:r>
        <w:rPr>
          <w:rFonts w:ascii="宋体" w:hAnsi="宋体" w:cs="宋体"/>
          <w:color w:val="000000"/>
          <w:spacing w:val="-10"/>
          <w:sz w:val="21"/>
        </w:rPr>
        <w:t>……</w:t>
      </w:r>
      <w:r>
        <w:rPr>
          <w:rFonts w:ascii="楷体" w:hAnsi="楷体" w:cs="楷体"/>
          <w:color w:val="000000"/>
          <w:spacing w:val="0"/>
          <w:sz w:val="21"/>
        </w:rPr>
        <w:t>中国与周边国家的紧</w:t>
      </w:r>
    </w:p>
    <w:p w14:paraId="137A8C2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密互动，传递出亚洲国家希望促进全球经济稳定、维护合作共赢国际环境的共同意愿。</w:t>
      </w:r>
    </w:p>
    <w:p w14:paraId="7F88DAC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）结合材料一，运用《经济与社会》相关知识，分析广东省是如何推动外贸高质量发展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154F76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）结合材料二，运用《当代国际政治与经济》相关知识，分析中国为何要推动构建周边命运共同体。</w:t>
      </w:r>
    </w:p>
    <w:p w14:paraId="362FC18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2FDECFDB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"/>
          <w:sz w:val="21"/>
        </w:rPr>
        <w:t>党的二十届三中全会将“制定民营经济促进法”列为重要改革举措。</w:t>
      </w:r>
      <w:r>
        <w:rPr>
          <w:rFonts w:ascii="Times New Roman"/>
          <w:color w:val="000000"/>
          <w:spacing w:val="0"/>
          <w:sz w:val="21"/>
        </w:rPr>
        <w:t>2025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30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楷体" w:hAnsi="楷体" w:cs="楷体"/>
          <w:color w:val="000000"/>
          <w:spacing w:val="-3"/>
          <w:sz w:val="21"/>
        </w:rPr>
        <w:t>日，十四届全国人</w:t>
      </w:r>
    </w:p>
    <w:p w14:paraId="7A59D0D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大常委会第十五次会议表决通过《中华人民共和国民营经济促进法》。整个立法过程坚持开门立法、集思广</w:t>
      </w:r>
    </w:p>
    <w:p w14:paraId="577A162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益、凝聚共识。</w:t>
      </w:r>
    </w:p>
    <w:p w14:paraId="1340F5D5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该法作为第一部关于民营经济发展的基础性法律，与宪法的很多规定相贯通、相衔接，融入了中国特</w:t>
      </w:r>
    </w:p>
    <w:p w14:paraId="273BEB8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色社会主义法律体系。该法第一次明确民营经济的法律地位，规定促进民营经济持续、健康、高质量发展</w:t>
      </w:r>
    </w:p>
    <w:p w14:paraId="512DD379">
      <w:pPr>
        <w:spacing w:before="21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8AF4D5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8EA8065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8EC2B18">
      <w:p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33B2D4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B012267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21" o:spid="_x0000_s1047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22" o:spid="_x0000_s1048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23" o:spid="_x0000_s1049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2"/>
          <w:sz w:val="21"/>
        </w:rPr>
        <w:t>是国家长期坚持的重大方针政策：规定民营经济组织及其经营者的人身权利、财产权利以及经营自主权等</w:t>
      </w:r>
    </w:p>
    <w:p w14:paraId="35E3800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合法权益受法律保护，强调“不得侵犯”；规定建立健全行政执法违法行为投诉举报处理机制、涉企行政</w:t>
      </w:r>
    </w:p>
    <w:p w14:paraId="7ED2CB8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执法诉求沟通机制，加强对行政执法的监督，规范行政执法行为。</w:t>
      </w:r>
    </w:p>
    <w:p w14:paraId="00FDA52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结合材料，运用《政治与法治》相关知识，分析《中华人民共和国民营经济促进法》的制定实施对我国法</w:t>
      </w:r>
    </w:p>
    <w:p w14:paraId="482CFE2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治国家建设的意义。</w:t>
      </w:r>
    </w:p>
    <w:p w14:paraId="7FD5DD3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3F1D98D8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张某与陈某育有一儿一女张甲、张乙。女儿张乙远嫁。儿子张甲及其妻子刘某与张某、陈某同住。张</w:t>
      </w:r>
    </w:p>
    <w:p w14:paraId="275B11F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甲意外去世后，刘某未再嫁，同时照顾因病卧床的张某和年老的陈某。五年后，张某去世未留遗嘱，留有</w:t>
      </w:r>
    </w:p>
    <w:p w14:paraId="5E98F61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与陈某共有房产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套、存款</w:t>
      </w:r>
      <w:r>
        <w:rPr>
          <w:rFonts w:ascii="Times New Roman"/>
          <w:color w:val="000000"/>
          <w:spacing w:val="0"/>
          <w:sz w:val="21"/>
        </w:rPr>
        <w:t xml:space="preserve"> 30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万元。为感谢刘某，陈某书面声明表示自愿将其享有的房产继承份额赠给刘</w:t>
      </w:r>
    </w:p>
    <w:p w14:paraId="3E716552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某，刘某表示接受。</w:t>
      </w:r>
    </w:p>
    <w:p w14:paraId="29C9263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结合材料，运用《法律与生活》相关知识，分析张某的遗产如何分割，并说明理由。</w:t>
      </w:r>
    </w:p>
    <w:p w14:paraId="13CF4D7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5FE80D5C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传统农业存在生产效率偏低、资源约束趋紧、技术迭代滞后等问题，难以应对数智技术引发的时代挑</w:t>
      </w:r>
    </w:p>
    <w:p w14:paraId="695D94F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战。面对这种状况，农业生产经营者表现出强烈的紧迫感，希望利用人工智能、大数据等技术推动自身转</w:t>
      </w:r>
    </w:p>
    <w:p w14:paraId="0168EC9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型升级。为此，四川省于</w:t>
      </w:r>
      <w:r>
        <w:rPr>
          <w:rFonts w:ascii="Times New Roman"/>
          <w:color w:val="000000"/>
          <w:spacing w:val="0"/>
          <w:sz w:val="21"/>
        </w:rPr>
        <w:t xml:space="preserve"> 2022 </w:t>
      </w:r>
      <w:r>
        <w:rPr>
          <w:rFonts w:ascii="楷体" w:hAnsi="楷体" w:cs="楷体"/>
          <w:color w:val="000000"/>
          <w:spacing w:val="-3"/>
          <w:sz w:val="21"/>
        </w:rPr>
        <w:t>年出台《四川省“十四五”农业农村信息化发展推进方案》。方案推进以来，</w:t>
      </w:r>
    </w:p>
    <w:p w14:paraId="1109A78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数字化技术在全省农业产业中进行“试点示范”，从智慧水利灌溉到人工智能病虫害监测，从变量施肥到</w:t>
      </w:r>
    </w:p>
    <w:p w14:paraId="06224E5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作物生长环境实时调控，农场实现了高度的自动化与智能化。通过持续试点建设，四川省不断总结符合全</w:t>
      </w:r>
    </w:p>
    <w:p w14:paraId="6F52ED0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省实际的可借鉴、可复制、可推广的智慧农业成功经验，发挥其示范引领与辐射带动效应，打造出一批主</w:t>
      </w:r>
    </w:p>
    <w:p w14:paraId="75B89C2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导产业突出、数字装备先进、生产方式绿色的数字农业园区，实现了从“以点带园”向“以园带片”发展</w:t>
      </w:r>
    </w:p>
    <w:p w14:paraId="3752917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模式的转变。从“凭经验”种田迈向“凭数据”种田，农民发出感慨：以前是“会”种地，现在要“慧”</w:t>
      </w:r>
    </w:p>
    <w:p w14:paraId="4AFE985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种地。</w:t>
      </w:r>
    </w:p>
    <w:p w14:paraId="31E9094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）结合材料，运用“实践是认识发展的动力”知识，分析农业发展理念是如何在数智化转型中得到不断</w:t>
      </w:r>
    </w:p>
    <w:p w14:paraId="6CFB5F6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提升的。</w:t>
      </w:r>
    </w:p>
    <w:p w14:paraId="261F374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）农民种地从“会”到“慧”体现了辩证的否定观，请简述其基本内容，并运用该思维方法为农民“慧”</w:t>
      </w:r>
    </w:p>
    <w:p w14:paraId="1DA71BC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种地提出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条建议。</w:t>
      </w:r>
    </w:p>
    <w:p w14:paraId="444EE269">
      <w:pPr>
        <w:spacing w:before="245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52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27735304-4CE3-493C-B031-40578B0D0F5E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AA31B025-C523-4777-AD8B-46C28E346A57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67C1D6D3-2AB4-42B9-8C4D-479348B14750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A19FCB8B-62F7-42B4-A359-F9085172D82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5D19F551-D5BC-4A51-B30C-5603828F48E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00358009-4963-44B9-B626-51B3F133A9C7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876F9DAB-3A51-49CF-9A04-1074287F4DAF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632F5752-1DD5-4872-8C21-9ED4F109B3A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F52BD6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86375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5DDDF1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71A8A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4AFCF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6A521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  <w:rsid w:val="105012F1"/>
    <w:rsid w:val="473D1CB1"/>
    <w:rsid w:val="51E260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4294967295" w:semiHidden="0" w:name="heading 1"/>
    <w:lsdException w:unhideWhenUsed="0" w:uiPriority="4294967295" w:semiHidden="0" w:name="heading 2"/>
    <w:lsdException w:unhideWhenUsed="0" w:uiPriority="4294967295" w:semiHidden="0" w:name="heading 3"/>
    <w:lsdException w:unhideWhenUsed="0" w:uiPriority="4294967295" w:semiHidden="0" w:name="heading 4"/>
    <w:lsdException w:unhideWhenUsed="0" w:uiPriority="4294967295" w:semiHidden="0" w:name="heading 5"/>
    <w:lsdException w:unhideWhenUsed="0" w:uiPriority="4294967295" w:semiHidden="0" w:name="heading 6"/>
    <w:lsdException w:unhideWhenUsed="0" w:uiPriority="4294967295" w:semiHidden="0" w:name="heading 7"/>
    <w:lsdException w:unhideWhenUsed="0" w:uiPriority="4294967295" w:semiHidden="0" w:name="heading 8"/>
    <w:lsdException w:unhideWhenUsed="0" w:uiPriority="4294967295" w:semiHidden="0" w:name="heading 9"/>
    <w:lsdException w:unhideWhenUsed="0" w:uiPriority="4294967295" w:semiHidden="0" w:name="index 1"/>
    <w:lsdException w:unhideWhenUsed="0" w:uiPriority="4294967295" w:semiHidden="0" w:name="index 2"/>
    <w:lsdException w:unhideWhenUsed="0" w:uiPriority="4294967295" w:semiHidden="0" w:name="index 3"/>
    <w:lsdException w:unhideWhenUsed="0" w:uiPriority="4294967295" w:semiHidden="0" w:name="index 4"/>
    <w:lsdException w:unhideWhenUsed="0" w:uiPriority="4294967295" w:semiHidden="0" w:name="index 5"/>
    <w:lsdException w:unhideWhenUsed="0" w:uiPriority="4294967295" w:semiHidden="0" w:name="index 6"/>
    <w:lsdException w:unhideWhenUsed="0" w:uiPriority="4294967295" w:semiHidden="0" w:name="index 7"/>
    <w:lsdException w:unhideWhenUsed="0" w:uiPriority="4294967295" w:semiHidden="0" w:name="index 8"/>
    <w:lsdException w:unhideWhenUsed="0" w:uiPriority="4294967295" w:semiHidden="0" w:name="index 9"/>
    <w:lsdException w:unhideWhenUsed="0" w:uiPriority="4294967295" w:semiHidden="0" w:name="toc 1"/>
    <w:lsdException w:unhideWhenUsed="0" w:uiPriority="4294967295" w:semiHidden="0" w:name="toc 2"/>
    <w:lsdException w:unhideWhenUsed="0" w:uiPriority="4294967295" w:semiHidden="0" w:name="toc 3"/>
    <w:lsdException w:unhideWhenUsed="0" w:uiPriority="4294967295" w:semiHidden="0" w:name="toc 4"/>
    <w:lsdException w:unhideWhenUsed="0" w:uiPriority="4294967295" w:semiHidden="0" w:name="toc 5"/>
    <w:lsdException w:unhideWhenUsed="0" w:uiPriority="4294967295" w:semiHidden="0" w:name="toc 6"/>
    <w:lsdException w:unhideWhenUsed="0" w:uiPriority="4294967295" w:semiHidden="0" w:name="toc 7"/>
    <w:lsdException w:unhideWhenUsed="0" w:uiPriority="4294967295" w:semiHidden="0" w:name="toc 8"/>
    <w:lsdException w:unhideWhenUsed="0" w:uiPriority="4294967295" w:semiHidden="0" w:name="toc 9"/>
    <w:lsdException w:unhideWhenUsed="0" w:uiPriority="4294967295" w:semiHidden="0" w:name="Normal Indent"/>
    <w:lsdException w:unhideWhenUsed="0" w:uiPriority="4294967295" w:semiHidden="0" w:name="footnote text"/>
    <w:lsdException w:unhideWhenUsed="0" w:uiPriority="4294967295" w:semiHidden="0" w:name="annotation text"/>
    <w:lsdException w:qFormat="1" w:unhideWhenUsed="0" w:uiPriority="4294967295" w:semiHidden="0" w:name="header"/>
    <w:lsdException w:qFormat="1" w:unhideWhenUsed="0" w:uiPriority="4294967295" w:semiHidden="0" w:name="footer"/>
    <w:lsdException w:unhideWhenUsed="0" w:uiPriority="4294967295" w:semiHidden="0" w:name="index heading"/>
    <w:lsdException w:unhideWhenUsed="0" w:uiPriority="4294967295" w:semiHidden="0" w:name="caption"/>
    <w:lsdException w:unhideWhenUsed="0" w:uiPriority="4294967295" w:semiHidden="0" w:name="table of figures"/>
    <w:lsdException w:unhideWhenUsed="0" w:uiPriority="4294967295" w:semiHidden="0" w:name="envelope address"/>
    <w:lsdException w:unhideWhenUsed="0" w:uiPriority="4294967295" w:semiHidden="0" w:name="envelope return"/>
    <w:lsdException w:unhideWhenUsed="0" w:uiPriority="4294967295" w:semiHidden="0" w:name="footnote reference"/>
    <w:lsdException w:unhideWhenUsed="0" w:uiPriority="4294967295" w:semiHidden="0" w:name="annotation reference"/>
    <w:lsdException w:unhideWhenUsed="0" w:uiPriority="4294967295" w:semiHidden="0" w:name="line number"/>
    <w:lsdException w:unhideWhenUsed="0" w:uiPriority="4294967295" w:semiHidden="0" w:name="page number"/>
    <w:lsdException w:unhideWhenUsed="0" w:uiPriority="4294967295" w:semiHidden="0" w:name="endnote reference"/>
    <w:lsdException w:unhideWhenUsed="0" w:uiPriority="4294967295" w:semiHidden="0" w:name="endnote text"/>
    <w:lsdException w:unhideWhenUsed="0" w:uiPriority="4294967295" w:semiHidden="0" w:name="table of authorities"/>
    <w:lsdException w:unhideWhenUsed="0" w:uiPriority="4294967295" w:semiHidden="0" w:name="macro"/>
    <w:lsdException w:unhideWhenUsed="0" w:uiPriority="4294967295" w:semiHidden="0" w:name="toa heading"/>
    <w:lsdException w:unhideWhenUsed="0" w:uiPriority="4294967295" w:semiHidden="0" w:name="List"/>
    <w:lsdException w:unhideWhenUsed="0" w:uiPriority="4294967295" w:semiHidden="0" w:name="List Bullet"/>
    <w:lsdException w:unhideWhenUsed="0" w:uiPriority="4294967295" w:semiHidden="0" w:name="List Number"/>
    <w:lsdException w:unhideWhenUsed="0" w:uiPriority="4294967295" w:semiHidden="0" w:name="List 2"/>
    <w:lsdException w:unhideWhenUsed="0" w:uiPriority="4294967295" w:semiHidden="0" w:name="List 3"/>
    <w:lsdException w:unhideWhenUsed="0" w:uiPriority="4294967295" w:semiHidden="0" w:name="List 4"/>
    <w:lsdException w:unhideWhenUsed="0" w:uiPriority="4294967295" w:semiHidden="0" w:name="List 5"/>
    <w:lsdException w:unhideWhenUsed="0" w:uiPriority="4294967295" w:semiHidden="0" w:name="List Bullet 2"/>
    <w:lsdException w:unhideWhenUsed="0" w:uiPriority="4294967295" w:semiHidden="0" w:name="List Bullet 3"/>
    <w:lsdException w:unhideWhenUsed="0" w:uiPriority="4294967295" w:semiHidden="0" w:name="List Bullet 4"/>
    <w:lsdException w:unhideWhenUsed="0" w:uiPriority="4294967295" w:semiHidden="0" w:name="List Bullet 5"/>
    <w:lsdException w:unhideWhenUsed="0" w:uiPriority="4294967295" w:semiHidden="0" w:name="List Number 2"/>
    <w:lsdException w:unhideWhenUsed="0" w:uiPriority="4294967295" w:semiHidden="0" w:name="List Number 3"/>
    <w:lsdException w:unhideWhenUsed="0" w:uiPriority="4294967295" w:semiHidden="0" w:name="List Number 4"/>
    <w:lsdException w:unhideWhenUsed="0" w:uiPriority="4294967295" w:semiHidden="0" w:name="List Number 5"/>
    <w:lsdException w:unhideWhenUsed="0" w:uiPriority="4294967295" w:semiHidden="0" w:name="Title"/>
    <w:lsdException w:unhideWhenUsed="0" w:uiPriority="4294967295" w:semiHidden="0" w:name="Closing"/>
    <w:lsdException w:unhideWhenUsed="0" w:uiPriority="4294967295" w:semiHidden="0" w:name="Signature"/>
    <w:lsdException w:unhideWhenUsed="0" w:uiPriority="0" w:name="Default Paragraph Font"/>
    <w:lsdException w:unhideWhenUsed="0" w:uiPriority="4294967295" w:semiHidden="0" w:name="Body Text"/>
    <w:lsdException w:unhideWhenUsed="0" w:uiPriority="4294967295" w:semiHidden="0" w:name="Body Text Indent"/>
    <w:lsdException w:unhideWhenUsed="0" w:uiPriority="4294967295" w:semiHidden="0" w:name="List Continue"/>
    <w:lsdException w:unhideWhenUsed="0" w:uiPriority="4294967295" w:semiHidden="0" w:name="List Continue 2"/>
    <w:lsdException w:unhideWhenUsed="0" w:uiPriority="4294967295" w:semiHidden="0" w:name="List Continue 3"/>
    <w:lsdException w:unhideWhenUsed="0" w:uiPriority="4294967295" w:semiHidden="0" w:name="List Continue 4"/>
    <w:lsdException w:unhideWhenUsed="0" w:uiPriority="4294967295" w:semiHidden="0" w:name="List Continue 5"/>
    <w:lsdException w:unhideWhenUsed="0" w:uiPriority="4294967295" w:semiHidden="0" w:name="Message Header"/>
    <w:lsdException w:unhideWhenUsed="0" w:uiPriority="4294967295" w:semiHidden="0" w:name="Subtitle"/>
    <w:lsdException w:unhideWhenUsed="0" w:uiPriority="4294967295" w:semiHidden="0" w:name="Salutation"/>
    <w:lsdException w:unhideWhenUsed="0" w:uiPriority="4294967295" w:semiHidden="0" w:name="Date"/>
    <w:lsdException w:unhideWhenUsed="0" w:uiPriority="4294967295" w:semiHidden="0" w:name="Body Text First Indent"/>
    <w:lsdException w:unhideWhenUsed="0" w:uiPriority="4294967295" w:semiHidden="0" w:name="Body Text First Indent 2"/>
    <w:lsdException w:unhideWhenUsed="0" w:uiPriority="4294967295" w:semiHidden="0" w:name="Note Heading"/>
    <w:lsdException w:unhideWhenUsed="0" w:uiPriority="4294967295" w:semiHidden="0" w:name="Body Text 2"/>
    <w:lsdException w:unhideWhenUsed="0" w:uiPriority="4294967295" w:semiHidden="0" w:name="Body Text 3"/>
    <w:lsdException w:unhideWhenUsed="0" w:uiPriority="4294967295" w:semiHidden="0" w:name="Body Text Indent 2"/>
    <w:lsdException w:unhideWhenUsed="0" w:uiPriority="4294967295" w:semiHidden="0" w:name="Body Text Indent 3"/>
    <w:lsdException w:unhideWhenUsed="0" w:uiPriority="4294967295" w:semiHidden="0" w:name="Block Text"/>
    <w:lsdException w:unhideWhenUsed="0" w:uiPriority="4294967295" w:semiHidden="0" w:name="Hyperlink"/>
    <w:lsdException w:unhideWhenUsed="0" w:uiPriority="4294967295" w:semiHidden="0" w:name="FollowedHyperlink"/>
    <w:lsdException w:unhideWhenUsed="0" w:uiPriority="4294967295" w:semiHidden="0" w:name="Strong"/>
    <w:lsdException w:unhideWhenUsed="0" w:uiPriority="4294967295" w:semiHidden="0" w:name="Emphasis"/>
    <w:lsdException w:unhideWhenUsed="0" w:uiPriority="4294967295" w:semiHidden="0" w:name="Document Map"/>
    <w:lsdException w:unhideWhenUsed="0" w:uiPriority="4294967295" w:semiHidden="0" w:name="Plain Text"/>
    <w:lsdException w:unhideWhenUsed="0" w:uiPriority="4294967295" w:semiHidden="0" w:name="E-mail Signature"/>
    <w:lsdException w:unhideWhenUsed="0" w:uiPriority="4294967295" w:semiHidden="0" w:name="Normal (Web)"/>
    <w:lsdException w:unhideWhenUsed="0" w:uiPriority="4294967295" w:semiHidden="0" w:name="HTML Acronym"/>
    <w:lsdException w:unhideWhenUsed="0" w:uiPriority="4294967295" w:semiHidden="0" w:name="HTML Address"/>
    <w:lsdException w:unhideWhenUsed="0" w:uiPriority="4294967295" w:semiHidden="0" w:name="HTML Cite"/>
    <w:lsdException w:unhideWhenUsed="0" w:uiPriority="4294967295" w:semiHidden="0" w:name="HTML Code"/>
    <w:lsdException w:unhideWhenUsed="0" w:uiPriority="4294967295" w:semiHidden="0" w:name="HTML Definition"/>
    <w:lsdException w:unhideWhenUsed="0" w:uiPriority="4294967295" w:semiHidden="0" w:name="HTML Keyboard"/>
    <w:lsdException w:unhideWhenUsed="0" w:uiPriority="4294967295" w:semiHidden="0" w:name="HTML Preformatted"/>
    <w:lsdException w:unhideWhenUsed="0" w:uiPriority="4294967295" w:semiHidden="0" w:name="HTML Sample"/>
    <w:lsdException w:unhideWhenUsed="0" w:uiPriority="4294967295" w:semiHidden="0" w:name="HTML Typewriter"/>
    <w:lsdException w:unhideWhenUsed="0" w:uiPriority="4294967295" w:semiHidden="0" w:name="HTML Variable"/>
    <w:lsdException w:unhideWhenUsed="0" w:uiPriority="4294967295" w:semiHidden="0" w:name="Normal Table"/>
    <w:lsdException w:unhideWhenUsed="0" w:uiPriority="4294967295" w:semiHidden="0" w:name="annotation subject"/>
    <w:lsdException w:qFormat="1" w:unhideWhenUsed="0" w:uiPriority="0" w:name="No List"/>
    <w:lsdException w:unhideWhenUsed="0" w:uiPriority="4294967295" w:semiHidden="0" w:name="Table Simple 1"/>
    <w:lsdException w:unhideWhenUsed="0" w:uiPriority="4294967295" w:semiHidden="0" w:name="Table Simple 2"/>
    <w:lsdException w:unhideWhenUsed="0" w:uiPriority="4294967295" w:semiHidden="0" w:name="Table Simple 3"/>
    <w:lsdException w:unhideWhenUsed="0" w:uiPriority="4294967295" w:semiHidden="0" w:name="Table Classic 1"/>
    <w:lsdException w:unhideWhenUsed="0" w:uiPriority="4294967295" w:semiHidden="0" w:name="Table Classic 2"/>
    <w:lsdException w:unhideWhenUsed="0" w:uiPriority="4294967295" w:semiHidden="0" w:name="Table Classic 3"/>
    <w:lsdException w:unhideWhenUsed="0" w:uiPriority="4294967295" w:semiHidden="0" w:name="Table Classic 4"/>
    <w:lsdException w:unhideWhenUsed="0" w:uiPriority="4294967295" w:semiHidden="0" w:name="Table Colorful 1"/>
    <w:lsdException w:unhideWhenUsed="0" w:uiPriority="4294967295" w:semiHidden="0" w:name="Table Colorful 2"/>
    <w:lsdException w:unhideWhenUsed="0" w:uiPriority="4294967295" w:semiHidden="0" w:name="Table Colorful 3"/>
    <w:lsdException w:unhideWhenUsed="0" w:uiPriority="4294967295" w:semiHidden="0" w:name="Table Columns 1"/>
    <w:lsdException w:unhideWhenUsed="0" w:uiPriority="4294967295" w:semiHidden="0" w:name="Table Columns 2"/>
    <w:lsdException w:unhideWhenUsed="0" w:uiPriority="4294967295" w:semiHidden="0" w:name="Table Columns 3"/>
    <w:lsdException w:unhideWhenUsed="0" w:uiPriority="4294967295" w:semiHidden="0" w:name="Table Columns 4"/>
    <w:lsdException w:unhideWhenUsed="0" w:uiPriority="4294967295" w:semiHidden="0" w:name="Table Columns 5"/>
    <w:lsdException w:unhideWhenUsed="0" w:uiPriority="4294967295" w:semiHidden="0" w:name="Table Grid 1"/>
    <w:lsdException w:unhideWhenUsed="0" w:uiPriority="4294967295" w:semiHidden="0" w:name="Table Grid 2"/>
    <w:lsdException w:unhideWhenUsed="0" w:uiPriority="4294967295" w:semiHidden="0" w:name="Table Grid 3"/>
    <w:lsdException w:unhideWhenUsed="0" w:uiPriority="4294967295" w:semiHidden="0" w:name="Table Grid 4"/>
    <w:lsdException w:unhideWhenUsed="0" w:uiPriority="4294967295" w:semiHidden="0" w:name="Table Grid 5"/>
    <w:lsdException w:unhideWhenUsed="0" w:uiPriority="4294967295" w:semiHidden="0" w:name="Table Grid 6"/>
    <w:lsdException w:unhideWhenUsed="0" w:uiPriority="4294967295" w:semiHidden="0" w:name="Table Grid 7"/>
    <w:lsdException w:unhideWhenUsed="0" w:uiPriority="4294967295" w:semiHidden="0" w:name="Table Grid 8"/>
    <w:lsdException w:unhideWhenUsed="0" w:uiPriority="4294967295" w:semiHidden="0" w:name="Table List 1"/>
    <w:lsdException w:unhideWhenUsed="0" w:uiPriority="4294967295" w:semiHidden="0" w:name="Table List 2"/>
    <w:lsdException w:unhideWhenUsed="0" w:uiPriority="4294967295" w:semiHidden="0" w:name="Table List 3"/>
    <w:lsdException w:unhideWhenUsed="0" w:uiPriority="4294967295" w:semiHidden="0" w:name="Table List 4"/>
    <w:lsdException w:unhideWhenUsed="0" w:uiPriority="4294967295" w:semiHidden="0" w:name="Table List 5"/>
    <w:lsdException w:unhideWhenUsed="0" w:uiPriority="4294967295" w:semiHidden="0" w:name="Table List 6"/>
    <w:lsdException w:unhideWhenUsed="0" w:uiPriority="4294967295" w:semiHidden="0" w:name="Table List 7"/>
    <w:lsdException w:unhideWhenUsed="0" w:uiPriority="4294967295" w:semiHidden="0" w:name="Table List 8"/>
    <w:lsdException w:unhideWhenUsed="0" w:uiPriority="4294967295" w:semiHidden="0" w:name="Table 3D effects 1"/>
    <w:lsdException w:unhideWhenUsed="0" w:uiPriority="4294967295" w:semiHidden="0" w:name="Table 3D effects 2"/>
    <w:lsdException w:unhideWhenUsed="0" w:uiPriority="4294967295" w:semiHidden="0" w:name="Table 3D effects 3"/>
    <w:lsdException w:unhideWhenUsed="0" w:uiPriority="4294967295" w:semiHidden="0" w:name="Table Contemporary"/>
    <w:lsdException w:unhideWhenUsed="0" w:uiPriority="4294967295" w:semiHidden="0" w:name="Table Elegant"/>
    <w:lsdException w:unhideWhenUsed="0" w:uiPriority="4294967295" w:semiHidden="0" w:name="Table Professional"/>
    <w:lsdException w:unhideWhenUsed="0" w:uiPriority="4294967295" w:semiHidden="0" w:name="Table Subtle 1"/>
    <w:lsdException w:unhideWhenUsed="0" w:uiPriority="4294967295" w:semiHidden="0" w:name="Table Subtle 2"/>
    <w:lsdException w:unhideWhenUsed="0" w:uiPriority="4294967295" w:semiHidden="0" w:name="Table Web 1"/>
    <w:lsdException w:unhideWhenUsed="0" w:uiPriority="4294967295" w:semiHidden="0" w:name="Table Web 2"/>
    <w:lsdException w:unhideWhenUsed="0" w:uiPriority="4294967295" w:semiHidden="0" w:name="Table Web 3"/>
    <w:lsdException w:unhideWhenUsed="0" w:uiPriority="4294967295" w:semiHidden="0" w:name="Balloon Text"/>
    <w:lsdException w:unhideWhenUsed="0" w:uiPriority="4294967295" w:semiHidden="0" w:name="Table Grid"/>
    <w:lsdException w:unhideWhenUsed="0" w:uiPriority="4294967295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uiPriority w:val="0"/>
  </w:style>
  <w:style w:type="table" w:default="1" w:styleId="4">
    <w:name w:val="Normal Table"/>
    <w:uiPriority w:val="42949672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footer"/>
    <w:basedOn w:val="1"/>
    <w:qFormat/>
    <w:uiPriority w:val="4294967295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4294967295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12</Pages>
  <Words>5279</Words>
  <Characters>5447</Characters>
  <Lines>0</Lines>
  <Paragraphs>173</Paragraphs>
  <TotalTime>3</TotalTime>
  <ScaleCrop>false</ScaleCrop>
  <LinksUpToDate>false</LinksUpToDate>
  <CharactersWithSpaces>5707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2025-09-07T10:54:00Z</dcterms:created>
  <dc:creator>Administrator</dc:creator>
  <cp:lastModifiedBy>上帝掷骰子吗</cp:lastModifiedBy>
  <dcterms:modified xsi:type="dcterms:W3CDTF">2026-02-10T06:56:23Z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3321BD8A3B0545E0AF9765DA2F1E6F8C_12</vt:lpwstr>
  </property>
</Properties>
</file>