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A62CD2">
      <w:pPr>
        <w:spacing w:before="0" w:after="0" w:line="325" w:lineRule="exact"/>
        <w:ind w:left="1092" w:right="0" w:firstLine="0"/>
        <w:jc w:val="left"/>
        <w:rPr>
          <w:rFonts w:ascii="Times New Roman"/>
          <w:color w:val="000000"/>
          <w:spacing w:val="0"/>
          <w:sz w:val="32"/>
        </w:rPr>
      </w:pPr>
      <w:r>
        <w:pict>
          <v:shape id="_x0000_s1025" o:spid="_x0000_s1025" o:spt="75" type="#_x0000_t75" style="position:absolute;left:0pt;margin-left:404.15pt;margin-top:72.55pt;height:2.75pt;width:2.7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bookmarkStart w:id="0" w:name="br1"/>
      <w:bookmarkEnd w:id="0"/>
      <w:r>
        <w:pict>
          <v:shape id="_x0000_s1026" o:spid="_x0000_s1026" o:spt="75" type="#_x0000_t75" style="position:absolute;left:0pt;margin-left:212.1pt;margin-top:473.3pt;height:5.75pt;width: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7" o:spid="_x0000_s1027" o:spt="75" type="#_x0000_t75" style="position:absolute;left:0pt;margin-left:116.8pt;margin-top:769.7pt;height:2.75pt;width:2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105.55pt;margin-top:243.65pt;height:16.25pt;width:12.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05.55pt;margin-top:298.45pt;height:16.25pt;width:12.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47pt;margin-top:626.35pt;height:121.3pt;width:419.2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32"/>
        </w:rPr>
        <w:t>云南省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/>
          <w:color w:val="000000"/>
          <w:spacing w:val="9"/>
          <w:sz w:val="32"/>
        </w:rPr>
        <w:t>2025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年普通高中学业水平选择性考试思想政治</w:t>
      </w:r>
    </w:p>
    <w:p w14:paraId="1098E1C7">
      <w:pPr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16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3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48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757490A9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18BA4169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马克思和恩格斯指出：“一切历史冲突都根源于生产力和交往形式之间的矛盾。”人类社会历史在这一矛</w:t>
      </w:r>
    </w:p>
    <w:p w14:paraId="22D1BBD3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盾的作用下，奴隶制取代原始公社制经历了约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3000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年，封建制度取代奴隶制度经历了约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1000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年，资本主</w:t>
      </w:r>
    </w:p>
    <w:p w14:paraId="1D8CE9A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义制度取代封建主义制度经历了约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年。社会主义发展的历史不算长，却在中国焕发出蓬勃生机。这表</w:t>
      </w:r>
    </w:p>
    <w:p w14:paraId="5B1FD06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304C44A">
      <w:pPr>
        <w:spacing w:before="36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①社会形态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存在都有相对稳定性</w:t>
      </w:r>
    </w:p>
    <w:p w14:paraId="0DEA55EE">
      <w:pPr>
        <w:spacing w:before="29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②社会形态的更替具有统一性与多样性</w:t>
      </w:r>
    </w:p>
    <w:p w14:paraId="2A4AA097">
      <w:pPr>
        <w:spacing w:before="36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③社会形态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更替具有必然性和长期性</w:t>
      </w:r>
    </w:p>
    <w:p w14:paraId="1FA7519D">
      <w:pPr>
        <w:spacing w:before="29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④不同社会形态的社会层级结构呈现复杂性</w:t>
      </w:r>
    </w:p>
    <w:p w14:paraId="7622CF94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44D5CED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习近平指出：“今年是‘十四五’规划收官之年，要在加紧落实规划目标任务的同时，适应形势变化，把</w:t>
      </w:r>
    </w:p>
    <w:p w14:paraId="45A9251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握战略重点，科学谋划好“十五五’时期经济社会发展。”自新中国成立以来，我国编制并实施了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个五</w:t>
      </w:r>
    </w:p>
    <w:p w14:paraId="6577276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年规划（计划），创造了经济快速发展奇迹和社会长期稳定奇迹。科学制定和接续实施五年规划是（</w:t>
      </w:r>
      <w:r>
        <w:rPr>
          <w:rFonts w:ascii="Times New Roman"/>
          <w:color w:val="000000"/>
          <w:spacing w:val="2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C79207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①社会主义革命的必要准备</w:t>
      </w:r>
    </w:p>
    <w:p w14:paraId="2F95BAE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②我们党治国理政一条重要经验</w:t>
      </w:r>
    </w:p>
    <w:p w14:paraId="34B71B7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③我国社会主义建设经验的初步总结</w:t>
      </w:r>
    </w:p>
    <w:p w14:paraId="564D2AA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④中国特色社会主义一个重要政治优势</w:t>
      </w:r>
    </w:p>
    <w:p w14:paraId="353C0DC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08B439D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大宗鲜花拍卖常采用降价式拍卖模式，即拍卖师确定起拍价后，交易大屏上的价格逐次下降，竞买人根</w:t>
      </w:r>
    </w:p>
    <w:p w14:paraId="293889E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据自己的预估价，在能接受的价位上按下竞价按钮，价高者得，现有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名竞买人参加一单鲜花拍卖，开拍</w:t>
      </w:r>
    </w:p>
    <w:p w14:paraId="1040F74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前，不考虑其他因素，他们的估价思路如下：</w:t>
      </w:r>
    </w:p>
    <w:p w14:paraId="7CC46BBC">
      <w:pPr>
        <w:spacing w:before="338" w:after="0" w:line="220" w:lineRule="exact"/>
        <w:ind w:left="84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影响因素</w:t>
      </w:r>
      <w:r>
        <w:rPr>
          <w:rFonts w:ascii="Times New Roman"/>
          <w:color w:val="000000"/>
          <w:spacing w:val="2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同品类</w:t>
      </w:r>
      <w:r>
        <w:rPr>
          <w:rFonts w:ascii="Times New Roman"/>
          <w:color w:val="000000"/>
          <w:spacing w:val="8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花色</w:t>
      </w:r>
      <w:r>
        <w:rPr>
          <w:rFonts w:ascii="Times New Roman"/>
          <w:color w:val="000000"/>
          <w:spacing w:val="13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质检</w:t>
      </w:r>
      <w:r>
        <w:rPr>
          <w:rFonts w:ascii="Times New Roman"/>
          <w:color w:val="000000"/>
          <w:spacing w:val="13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预估价</w:t>
      </w:r>
    </w:p>
    <w:p w14:paraId="41754A5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竞买人</w:t>
      </w:r>
      <w:r>
        <w:rPr>
          <w:rFonts w:ascii="Times New Roman"/>
          <w:color w:val="000000"/>
          <w:spacing w:val="127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供货量增加</w:t>
      </w:r>
      <w:r>
        <w:rPr>
          <w:rFonts w:ascii="Times New Roman"/>
          <w:color w:val="000000"/>
          <w:spacing w:val="39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稀有、热门</w:t>
      </w:r>
      <w:r>
        <w:rPr>
          <w:rFonts w:ascii="Times New Roman"/>
          <w:color w:val="000000"/>
          <w:spacing w:val="7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评级高</w:t>
      </w:r>
      <w:r>
        <w:rPr>
          <w:rFonts w:ascii="Times New Roman"/>
          <w:color w:val="000000"/>
          <w:spacing w:val="11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（元/枝）</w:t>
      </w:r>
    </w:p>
    <w:p w14:paraId="28BA9932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号</w:t>
      </w:r>
      <w:r>
        <w:rPr>
          <w:rFonts w:ascii="Times New Roman"/>
          <w:color w:val="000000"/>
          <w:spacing w:val="154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↓</w:t>
      </w:r>
      <w:r>
        <w:rPr>
          <w:rFonts w:ascii="Times New Roman"/>
          <w:color w:val="000000"/>
          <w:spacing w:val="12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↑</w:t>
      </w:r>
      <w:r>
        <w:rPr>
          <w:rFonts w:ascii="Times New Roman"/>
          <w:color w:val="000000"/>
          <w:spacing w:val="1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↑</w:t>
      </w:r>
      <w:r>
        <w:rPr>
          <w:rFonts w:ascii="Times New Roman"/>
          <w:color w:val="000000"/>
          <w:spacing w:val="1548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2.1</w:t>
      </w:r>
    </w:p>
    <w:p w14:paraId="00839794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号</w:t>
      </w:r>
      <w:r>
        <w:rPr>
          <w:rFonts w:ascii="Times New Roman"/>
          <w:color w:val="000000"/>
          <w:spacing w:val="154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↓</w:t>
      </w:r>
      <w:r>
        <w:rPr>
          <w:rFonts w:ascii="Times New Roman"/>
          <w:color w:val="000000"/>
          <w:spacing w:val="12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↑</w:t>
      </w:r>
      <w:r>
        <w:rPr>
          <w:rFonts w:ascii="Times New Roman"/>
          <w:color w:val="000000"/>
          <w:spacing w:val="1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↓</w:t>
      </w:r>
      <w:r>
        <w:rPr>
          <w:rFonts w:ascii="Times New Roman"/>
          <w:color w:val="000000"/>
          <w:spacing w:val="1548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1.7</w:t>
      </w:r>
    </w:p>
    <w:p w14:paraId="6662D265">
      <w:pPr>
        <w:spacing w:before="63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94DCD0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BE6007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1D47EF0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DF7E63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E5A8060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1" o:spid="_x0000_s1031" o:spt="75" type="#_x0000_t75" style="position:absolute;left:0pt;margin-left:212.1pt;margin-top:473.3pt;height:5.75pt;width: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16.8pt;margin-top:769.7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47pt;margin-top:65.05pt;height:97.3pt;width:419.2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221.1pt;margin-top:563.35pt;height:16.25pt;width:12.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宋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号</w:t>
      </w:r>
      <w:r>
        <w:rPr>
          <w:rFonts w:ascii="Times New Roman"/>
          <w:color w:val="000000"/>
          <w:spacing w:val="154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↑</w:t>
      </w:r>
      <w:r>
        <w:rPr>
          <w:rFonts w:ascii="Times New Roman"/>
          <w:color w:val="000000"/>
          <w:spacing w:val="12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↓</w:t>
      </w:r>
      <w:r>
        <w:rPr>
          <w:rFonts w:ascii="Times New Roman"/>
          <w:color w:val="000000"/>
          <w:spacing w:val="1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↑</w:t>
      </w:r>
      <w:r>
        <w:rPr>
          <w:rFonts w:ascii="Times New Roman"/>
          <w:color w:val="000000"/>
          <w:spacing w:val="1548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1.8</w:t>
      </w:r>
    </w:p>
    <w:p w14:paraId="1593D4E3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号</w:t>
      </w:r>
      <w:r>
        <w:rPr>
          <w:rFonts w:ascii="Times New Roman"/>
          <w:color w:val="000000"/>
          <w:spacing w:val="154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↓</w:t>
      </w:r>
      <w:r>
        <w:rPr>
          <w:rFonts w:ascii="Times New Roman"/>
          <w:color w:val="000000"/>
          <w:spacing w:val="12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↑</w:t>
      </w:r>
      <w:r>
        <w:rPr>
          <w:rFonts w:ascii="Times New Roman"/>
          <w:color w:val="000000"/>
          <w:spacing w:val="1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↑</w:t>
      </w:r>
      <w:r>
        <w:rPr>
          <w:rFonts w:ascii="Times New Roman"/>
          <w:color w:val="000000"/>
          <w:spacing w:val="1548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1.9</w:t>
      </w:r>
    </w:p>
    <w:p w14:paraId="630790A6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号</w:t>
      </w:r>
      <w:r>
        <w:rPr>
          <w:rFonts w:ascii="Times New Roman"/>
          <w:color w:val="000000"/>
          <w:spacing w:val="154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↓</w:t>
      </w:r>
      <w:r>
        <w:rPr>
          <w:rFonts w:ascii="Times New Roman"/>
          <w:color w:val="000000"/>
          <w:spacing w:val="12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↑</w:t>
      </w:r>
      <w:r>
        <w:rPr>
          <w:rFonts w:ascii="Times New Roman"/>
          <w:color w:val="000000"/>
          <w:spacing w:val="1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↓</w:t>
      </w:r>
      <w:r>
        <w:rPr>
          <w:rFonts w:ascii="Times New Roman"/>
          <w:color w:val="000000"/>
          <w:spacing w:val="1548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1.8</w:t>
      </w:r>
    </w:p>
    <w:p w14:paraId="1AC037FD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注：“↑”“↓”分别表示预期涨价、降价</w:t>
      </w:r>
    </w:p>
    <w:p w14:paraId="636792E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开拍后，拍卖师确定起拍价是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元/枝。据此可推断（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AED44E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①最可能的成交价是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元/枝</w:t>
      </w:r>
    </w:p>
    <w:p w14:paraId="0E1195C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②最可能的成交价是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2.1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元/枝</w:t>
      </w:r>
    </w:p>
    <w:p w14:paraId="09FE267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③估价思路正确的是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号、4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号</w:t>
      </w:r>
    </w:p>
    <w:p w14:paraId="3A1D78F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④估价思路正确的是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号、5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号</w:t>
      </w:r>
    </w:p>
    <w:p w14:paraId="4A08AB7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310E512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小明在某公众平台兼职从事法律咨询服务，兼职收入包括：一是通过法律咨询获得收入：二是达到一定</w:t>
      </w:r>
    </w:p>
    <w:p w14:paraId="5A673E2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粉丝量后，接广告获得收入，平台从中抽成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5%。由此可知（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CBC651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①小明的广告收入是按生产要素参与分配</w:t>
      </w:r>
    </w:p>
    <w:p w14:paraId="7A60B1F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②小明从事法律咨询的收入属于按劳分配</w:t>
      </w:r>
    </w:p>
    <w:p w14:paraId="413C525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③小明从事法律咨询可以增加其收入来源</w:t>
      </w:r>
    </w:p>
    <w:p w14:paraId="5C43744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④平台抽成补充了现有收入分配要素类型</w:t>
      </w:r>
    </w:p>
    <w:p w14:paraId="769E85E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3FA62D2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5. </w:t>
      </w:r>
      <w:r>
        <w:rPr>
          <w:rFonts w:ascii="宋体" w:hAnsi="宋体" w:cs="宋体"/>
          <w:color w:val="000000"/>
          <w:spacing w:val="0"/>
          <w:sz w:val="21"/>
        </w:rPr>
        <w:t>“村村寨寨哎，打起鼓、敲起锣，阿低唱新歌。共产党光辉照边疆，山笑水笑人欢乐……”这首上世纪</w:t>
      </w:r>
    </w:p>
    <w:p w14:paraId="08C40D0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60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年代传遍大江南北的《阿佤人民唱新歌》，在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2024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年“首届云南民歌大家唱”赛歌会再次唱响，引起了</w:t>
      </w:r>
    </w:p>
    <w:p w14:paraId="14AFAC4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台上台下各族群众的热烈响应。由此可见（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9A2A23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①民歌成为人们向往和歌颂美好生活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新形式</w:t>
      </w:r>
    </w:p>
    <w:p w14:paraId="5C67053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②这首歌唱出了阿佤人民对共产党的感恩之情</w:t>
      </w:r>
    </w:p>
    <w:p w14:paraId="78A0304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③“民歌大家唱”能够促进民族交往交流交融</w:t>
      </w:r>
    </w:p>
    <w:p w14:paraId="690BD28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④赛歌会展现了民族间的互信互助、互谅互让</w:t>
      </w:r>
    </w:p>
    <w:p w14:paraId="2B3E503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5B1647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6. </w:t>
      </w:r>
      <w:r>
        <w:rPr>
          <w:rFonts w:ascii="宋体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年，云南省人大常委会依据《云南省人民代表大会代表履职评价办法（试行）》圆满完成了首次省人</w:t>
      </w:r>
    </w:p>
    <w:p w14:paraId="0E57359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大代表履职评价工作。评价主要围绕人大代表模范作用发挥、会议期间工作、闭会期间活动等方面履职情</w:t>
      </w:r>
    </w:p>
    <w:p w14:paraId="291235F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况进行。此举旨在（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8164A9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①调动人大代表参政议政积极性和主动性</w:t>
      </w:r>
    </w:p>
    <w:p w14:paraId="1F0F7EC3">
      <w:pPr>
        <w:spacing w:before="7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73D9D9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F54C79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2CF2409">
      <w:pPr>
        <w:pStyle w:val="6"/>
        <w:sectPr>
          <w:pgSz w:w="11900" w:h="16840"/>
          <w:pgMar w:top="154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418BAD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28BCA65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35" o:spid="_x0000_s1035" o:spt="75" type="#_x0000_t75" style="position:absolute;left:0pt;margin-left:404.15pt;margin-top:72.55pt;height:2.75pt;width:2.7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212.1pt;margin-top:473.3pt;height:5.75pt;width: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116.8pt;margin-top:769.7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410.15pt;margin-top:374.2pt;height:16.25pt;width:12.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②从根本上提高人大代表所提议案的质量</w:t>
      </w:r>
    </w:p>
    <w:p w14:paraId="417E87C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③增强人大代表依法履职的意识和责任感</w:t>
      </w:r>
    </w:p>
    <w:p w14:paraId="328C7A1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④进一步密切人大代表同人民群众的联系</w:t>
      </w:r>
    </w:p>
    <w:p w14:paraId="6A78E5B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738CE6A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某村委会成立了由多名德高望重的女性组成的“阿妈议事会”。阿妈们定期议事，参与村务的商议处理，</w:t>
      </w:r>
    </w:p>
    <w:p w14:paraId="784123D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反映村民意见建议。当有村民对村务工作不理解时，她们就一户户上门谈心，解开群众心结。同时，阿妈</w:t>
      </w:r>
    </w:p>
    <w:p w14:paraId="7DD18D6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们以“拉家常”方式开展普法活动，调解矛盾纠纷，传递法治正能量。此模式（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2C42E1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①拓宽了村民与村委会间的沟通渠道</w:t>
      </w:r>
    </w:p>
    <w:p w14:paraId="69AF11B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②推动了基层工作的规范化、程序化</w:t>
      </w:r>
    </w:p>
    <w:p w14:paraId="4B319D7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③排除了农村地区矛盾纠纷风险隐患</w:t>
      </w:r>
    </w:p>
    <w:p w14:paraId="6645F66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④丰富了普法方式、提升了治理质效</w:t>
      </w:r>
    </w:p>
    <w:p w14:paraId="0C3BC3A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5007F5F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自国家卫生健康委联合教育部、体育总局等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16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部门启动“体重管理年”活动以来，医疗机构、健身行业</w:t>
      </w:r>
    </w:p>
    <w:p w14:paraId="4038231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以及社会各界纷纷响应。人们通过医学干预、体育运动等方式掀起了体重管理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热潮。根据材料，体重管</w:t>
      </w:r>
    </w:p>
    <w:p w14:paraId="074F735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理（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B4A355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①效果取决于人们对各种方式的选择</w:t>
      </w:r>
    </w:p>
    <w:p w14:paraId="5A29ABA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②与体育运动之间的联系具有客观性</w:t>
      </w:r>
    </w:p>
    <w:p w14:paraId="6781DE2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③与医学干预之间是人为事物的联系</w:t>
      </w:r>
    </w:p>
    <w:p w14:paraId="587EAA5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④受医学干预和体育运动发展的主导</w:t>
      </w:r>
    </w:p>
    <w:p w14:paraId="65818F3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7D4E0F9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过去，人们主要采用有机高分子材料修复岩土文物。现在，科研团队通过微生物加固技术修复岩土文物，</w:t>
      </w:r>
    </w:p>
    <w:p w14:paraId="289D475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更契合岩土文物修复“最小干预”“不引入异物”的特殊需求，打开了科技守护文化根脉的新思路。微生</w:t>
      </w:r>
    </w:p>
    <w:p w14:paraId="2E84723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物加固技术的运用（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2AE02A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①为文物修复提供了方法论指导</w:t>
      </w:r>
    </w:p>
    <w:p w14:paraId="681FD2E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②是人们发挥主观能动性的结果</w:t>
      </w:r>
    </w:p>
    <w:p w14:paraId="423827F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③丰富了人们对物质世界的认识</w:t>
      </w:r>
    </w:p>
    <w:p w14:paraId="3090C55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④是对有机高分子材料的辩证否定</w:t>
      </w:r>
    </w:p>
    <w:p w14:paraId="027F7C1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27FDFEB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10. </w:t>
      </w:r>
      <w:r>
        <w:rPr>
          <w:rFonts w:ascii="宋体" w:hAnsi="宋体" w:cs="宋体"/>
          <w:color w:val="000000"/>
          <w:spacing w:val="0"/>
          <w:sz w:val="21"/>
        </w:rPr>
        <w:t>“素人写作”是一种普通劳动者以“剧中人”和“剧作者”的双重身份进行写作，并借助新媒介传播的</w:t>
      </w:r>
    </w:p>
    <w:p w14:paraId="32E37C3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文化现象。近年涌现出的一些优秀作品得到大众的喜爱，这些作品记录了真切的生活感受，让人们为身边</w:t>
      </w:r>
    </w:p>
    <w:p w14:paraId="383592BB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513B82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AB9CEC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97B6E31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39" o:spid="_x0000_s1039" o:spt="75" type="#_x0000_t75" style="position:absolute;left:0pt;margin-left:404.15pt;margin-top:72.55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212.1pt;margin-top:473.3pt;height:5.75pt;width: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16.8pt;margin-top:769.7pt;height:2.75pt;width:2.7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79.1pt;margin-top:748.7pt;height:16.25pt;width:12.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的奋斗鼓掌；用有温度的经历引发共鸣，使读者走出“茧房”，与他人和社会建立联系。这些优秀作品受</w:t>
      </w:r>
    </w:p>
    <w:p w14:paraId="5CA8A4E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欢迎是因为（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DF7417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①源于时代发展，记录生活与回应社会</w:t>
      </w:r>
    </w:p>
    <w:p w14:paraId="5E09C7B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②拥抱新兴技术，创新传播形式和内容</w:t>
      </w:r>
    </w:p>
    <w:p w14:paraId="18CE35C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③迎合大众需求，优化了公共文化服务</w:t>
      </w:r>
    </w:p>
    <w:p w14:paraId="2D43A25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④讴歌奋斗人生，打动人心与抚慰情感</w:t>
      </w:r>
    </w:p>
    <w:p w14:paraId="1784C00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5AE862F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中国向全球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多家科研机构分享嫦娥六号获取的月壤样本，通过杂交水稻技术助力近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70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国粮食增产。</w:t>
      </w:r>
    </w:p>
    <w:p w14:paraId="0696A12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同时，中国采取人工智能开源模式，打破西方国家对先进算力的垄断，与各国共享人工智能发展红利。这</w:t>
      </w:r>
    </w:p>
    <w:p w14:paraId="08501BA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能够（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83EE49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①拓展发展中国家实现现代化的模式</w:t>
      </w:r>
    </w:p>
    <w:p w14:paraId="73DAA60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②彰显中国立己达人的和平发展道路</w:t>
      </w:r>
    </w:p>
    <w:p w14:paraId="7A2904E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③凸显中国以务实行动完善全球治理</w:t>
      </w:r>
    </w:p>
    <w:p w14:paraId="1FF6A04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④建立平等、开放、合作的伙伴关系</w:t>
      </w:r>
    </w:p>
    <w:p w14:paraId="7ADB82E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7CB3BBB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目前我国已陆续制定</w:t>
      </w:r>
      <w:r>
        <w:rPr>
          <w:rFonts w:ascii="Times New Roman"/>
          <w:color w:val="000000"/>
          <w:spacing w:val="-18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110</w:t>
      </w:r>
      <w:r>
        <w:rPr>
          <w:rFonts w:ascii="Times New Roman"/>
          <w:color w:val="000000"/>
          <w:spacing w:val="-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余项中医药</w:t>
      </w:r>
      <w:r>
        <w:rPr>
          <w:rFonts w:ascii="Times New Roman"/>
          <w:color w:val="000000"/>
          <w:spacing w:val="-18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ISO</w:t>
      </w:r>
      <w:r>
        <w:rPr>
          <w:rFonts w:ascii="Times New Roman"/>
          <w:color w:val="000000"/>
          <w:spacing w:val="-18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国际标准。2024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年我国中药类商品对外贸易总额同比增长</w:t>
      </w:r>
      <w:r>
        <w:rPr>
          <w:rFonts w:ascii="Times New Roman"/>
          <w:color w:val="000000"/>
          <w:spacing w:val="-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0.4%，</w:t>
      </w:r>
    </w:p>
    <w:p w14:paraId="0C8556C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其中进口额增长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7.3%，出口额下降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3.2%。具体来看，中药材及中药饮片、植物提取物出口额分别同比下降</w:t>
      </w:r>
    </w:p>
    <w:p w14:paraId="41E8B54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5.7%、7.7%，中成药、保健品出口额分别同比增长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</w:rPr>
        <w:t>10.6%、20.9%。由此可推断，2024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年我国中药类商品（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435DBC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①进口贸易规模扩大，国际需求量减少</w:t>
      </w:r>
    </w:p>
    <w:p w14:paraId="6F5820C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②进出口贸易量价齐增，产品质量提升</w:t>
      </w:r>
    </w:p>
    <w:p w14:paraId="08A4B51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③出口的产品附加值增加，价值链地位提升</w:t>
      </w:r>
    </w:p>
    <w:p w14:paraId="5E1B9BC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④深加工产品出口规模扩大，出口结构优化</w:t>
      </w:r>
    </w:p>
    <w:p w14:paraId="07471DB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58225D2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某商家在网络平台销售无人机，授权平台在收到消费者已退货信息后即可退款，落实“七天无理由退</w:t>
      </w:r>
    </w:p>
    <w:p w14:paraId="3F58FEE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货”。在销售过程中，商家发现有顾客退回非本店售卖的无人机，且平台已将货款退还到顾客账户。商家</w:t>
      </w:r>
    </w:p>
    <w:p w14:paraId="42CCC2B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AB38C1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①可以依法通过仲裁解决</w:t>
      </w:r>
    </w:p>
    <w:p w14:paraId="3DFEFEC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②应该向其注册登记地法院起诉</w:t>
      </w:r>
    </w:p>
    <w:p w14:paraId="06A10C8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③必须通过平台要求顾客返还货款</w:t>
      </w:r>
    </w:p>
    <w:p w14:paraId="3458EDE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④不能要求平台返还已划扣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货款</w:t>
      </w:r>
    </w:p>
    <w:p w14:paraId="5E44A968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62E9E7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602EA1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92C64D3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C604B5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DEDDF5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43" o:spid="_x0000_s1043" o:spt="75" type="#_x0000_t75" style="position:absolute;left:0pt;margin-left:404.15pt;margin-top:72.55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212.1pt;margin-top:473.3pt;height:5.75pt;width: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687669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甲得知好友患重病急需医疗费，打算相助。目前，甲的财产状况为：未到期婚前债权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万元：婚前房屋</w:t>
      </w:r>
    </w:p>
    <w:p w14:paraId="6C05416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套，婚后与他人签订租赁协议，约定租金每年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万元；婚后存款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万元。甲可依法采用的筹措医疗费的</w:t>
      </w:r>
    </w:p>
    <w:p w14:paraId="6849D3F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办法有（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AA3D99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①与债务人协商提前偿还债务</w:t>
      </w:r>
    </w:p>
    <w:p w14:paraId="63682CF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②预支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万元房租，事后经配偶追认</w:t>
      </w:r>
    </w:p>
    <w:p w14:paraId="24F17DD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③从夫妻共有存款中，拿出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万元赠与好友</w:t>
      </w:r>
    </w:p>
    <w:p w14:paraId="1481B5E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④经配偶同意后，以房屋的土地所有权作为抵押向银行贷款</w:t>
      </w:r>
    </w:p>
    <w:p w14:paraId="79170C2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3A8E446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中国古代天文学家在观测星象时发现，星辰位置与季节、物候存在关联。《鸥冠子·环流》明确记载：</w:t>
      </w:r>
    </w:p>
    <w:p w14:paraId="5E721E0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“斗柄东指，天下皆春；斗柄南指，天下皆夏。”但古人深知，自然变化并非简单对应，这种认知后被升华</w:t>
      </w:r>
    </w:p>
    <w:p w14:paraId="5513DD6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为奉常处变的哲学思想。对于材料中体现的科学思维，判断正确的是（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3358FD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①求异法，对比不同年份的物候差异来确定斗柄位置</w:t>
      </w:r>
    </w:p>
    <w:p w14:paraId="658DE66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②演绎推理法，从普遍规律出发推导出具体的物候现象</w:t>
      </w:r>
    </w:p>
    <w:p w14:paraId="68DDE8F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③辩证思维，认识星辰位置与物候的普遍联系及特殊变化</w:t>
      </w:r>
    </w:p>
    <w:p w14:paraId="17971F9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④共变法，观测斗柄位置与季节变化的同步关系总结规律</w:t>
      </w:r>
    </w:p>
    <w:p w14:paraId="246BDC6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4A6BFA6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近日，“国球奥运冠军进校园”活动在云南举办。根据活动要求，张华和李红至少有一人参加这个活动。</w:t>
      </w:r>
    </w:p>
    <w:p w14:paraId="2FC03F6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如果张华不参加“国球奥运冠军进校园”活动，那么李红不参加这个活动。由此可必然推出（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D25A06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李红一定参加这个活动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张华一定参加这个活动</w:t>
      </w:r>
    </w:p>
    <w:p w14:paraId="1BCA126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李红一定不参加这个活动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张华一定不参加这个活动</w:t>
      </w:r>
    </w:p>
    <w:p w14:paraId="752DE5F6">
      <w:pPr>
        <w:spacing w:before="222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5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52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699886C2">
      <w:pPr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6CDCD805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多式联运是一种为实现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物畅其流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，将铁路、公路、水运、航空等多种运输方式有机组合</w:t>
      </w:r>
    </w:p>
    <w:p w14:paraId="2ACF139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2"/>
          <w:sz w:val="21"/>
        </w:rPr>
        <w:t>的联运新模式。为贯彻落实中央《关于加快建设统一开放的交通运输市场的意见》，健全多式联运运行体系，</w:t>
      </w:r>
    </w:p>
    <w:p w14:paraId="02439C8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多地政府聚力推动货物品名、箱型、包装等标准规则互认，推进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一单制</w:t>
      </w:r>
      <w:r>
        <w:rPr>
          <w:rFonts w:ascii="宋体" w:hAnsi="宋体" w:cs="宋体"/>
          <w:color w:val="000000"/>
          <w:spacing w:val="0"/>
          <w:sz w:val="21"/>
        </w:rPr>
        <w:t>”“</w:t>
      </w:r>
      <w:r>
        <w:rPr>
          <w:rFonts w:ascii="楷体" w:hAnsi="楷体" w:cs="楷体"/>
          <w:color w:val="000000"/>
          <w:spacing w:val="0"/>
          <w:sz w:val="21"/>
        </w:rPr>
        <w:t>一箱制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，实现托运人一次</w:t>
      </w:r>
    </w:p>
    <w:p w14:paraId="2ED9A47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委托、费用一次结算、货物一次保险及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一箱到底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的全程管控；打造铁路货运电子商务平台、多式联运</w:t>
      </w:r>
    </w:p>
    <w:p w14:paraId="725B846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数智平台，提升车货匹配效率，整合各类分散的货运市场资源。</w:t>
      </w:r>
    </w:p>
    <w:p w14:paraId="195A833D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某物流公司与客户签订铁水联运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一单制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运输合同，将矿石运至目的地。物流公司委托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A</w:t>
      </w:r>
    </w:p>
    <w:p w14:paraId="6C05178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公司负责铁运，B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公司负责水运。A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公司将货物运至港口交付水运时，B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公司未及时安排接货。A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公司当即</w:t>
      </w:r>
    </w:p>
    <w:p w14:paraId="0F416500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48C8DE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8153CC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90F0B09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00583D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7" w:name="_GoBack"/>
      <w:bookmarkEnd w:id="7"/>
    </w:p>
    <w:p w14:paraId="5741F593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46" o:spid="_x0000_s1046" o:spt="75" type="#_x0000_t75" style="position:absolute;left:0pt;margin-left:404.15pt;margin-top:72.55pt;height:2.75pt;width: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212.1pt;margin-top:473.3pt;height:5.75pt;width: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116.8pt;margin-top:769.7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采取措施：一方面，多次联系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公司接货；另一方面，为保障货物安全，租用港口场地存储货物并垫付费</w:t>
      </w:r>
    </w:p>
    <w:p w14:paraId="776389B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用。B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公司接货后，将货物运到目的地时逾期，造成损失。</w:t>
      </w:r>
    </w:p>
    <w:p w14:paraId="484ABBF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）结合材料一，运用《经济与社会》相关知识，分析发展多式联运是如何助力统一开放的交通运输市场</w:t>
      </w:r>
    </w:p>
    <w:p w14:paraId="0979AD0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建设的。</w:t>
      </w:r>
    </w:p>
    <w:p w14:paraId="199344F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）结合材料二，运用《法律与生活》中合同的相关知识，指出其中的违约方和守约方，并评析他们的行</w:t>
      </w:r>
    </w:p>
    <w:p w14:paraId="164E5FF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为。</w:t>
      </w:r>
    </w:p>
    <w:p w14:paraId="5BB23C1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146AAE86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习近平指出：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创新是引领发展的第一动力。抓创新就是抓发展，谋创新就是谋未来。</w:t>
      </w:r>
      <w:r>
        <w:rPr>
          <w:rFonts w:ascii="宋体" w:hAnsi="宋体" w:cs="宋体"/>
          <w:color w:val="000000"/>
          <w:spacing w:val="0"/>
          <w:sz w:val="21"/>
        </w:rPr>
        <w:t>”</w:t>
      </w:r>
    </w:p>
    <w:p w14:paraId="65214E6D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从跟跑到领跑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需要一代代人的接力，接力棒已经传给新一代。新一代有着不甘心的韧劲、不停步</w:t>
      </w:r>
    </w:p>
    <w:p w14:paraId="31AE808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的闯劲。经过无数次失败，他们研制的机器人如今已能灵巧地转动手绢、在梅花桩上如履平地。具身智能、</w:t>
      </w:r>
    </w:p>
    <w:p w14:paraId="51BDEFD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4"/>
          <w:sz w:val="21"/>
        </w:rPr>
        <w:t>量子技术、航空航天</w:t>
      </w:r>
      <w:r>
        <w:rPr>
          <w:rFonts w:ascii="宋体" w:hAnsi="宋体" w:cs="宋体"/>
          <w:color w:val="000000"/>
          <w:spacing w:val="-10"/>
          <w:sz w:val="21"/>
        </w:rPr>
        <w:t>……</w:t>
      </w:r>
      <w:r>
        <w:rPr>
          <w:rFonts w:ascii="楷体" w:hAnsi="楷体" w:cs="楷体"/>
          <w:color w:val="000000"/>
          <w:spacing w:val="-2"/>
          <w:sz w:val="21"/>
        </w:rPr>
        <w:t>新一代在关键技术领域中坚持再坚持，实现一个又一个新突破。曾经在创新路上屡</w:t>
      </w:r>
    </w:p>
    <w:p w14:paraId="438473C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遭挫折又不断求索的新一代，正推动创新中的中国行稳致远。</w:t>
      </w:r>
    </w:p>
    <w:p w14:paraId="799262A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结合材料，运用“追求真理是一个过程”相关知识，说明新一代为何能够推动创新中的中国行稳致远。</w:t>
      </w:r>
    </w:p>
    <w:p w14:paraId="767DC1E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5F1127CB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推动能源转型是全人类的共同责任，但保护主义和双重标准却阻碍了全球能源转型进程。一些国家对</w:t>
      </w:r>
    </w:p>
    <w:p w14:paraId="43FA09B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进口新能源产品征收高关税并采取大规模的歧视性产业补贴，既破坏全球新能源产业链，又导致本国转型</w:t>
      </w:r>
    </w:p>
    <w:p w14:paraId="01BE1DC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成本上升、消费者权益受损，造成了损人不利己的局面；限制与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全球南方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合作，防止绿色技术向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全</w:t>
      </w:r>
    </w:p>
    <w:p w14:paraId="3207082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球南方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转移，迟滞了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全球南方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能源转型。</w:t>
      </w:r>
    </w:p>
    <w:p w14:paraId="1ECF0B34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中国秉持真正的多边主义，为全球能源转型难题提供解决方案。真正的多边主义倡导各国共同参与治</w:t>
      </w:r>
    </w:p>
    <w:p w14:paraId="093BE07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理、相互协调与合作，与单边主义、保护主义和排他性治理规则形成鲜明对比。</w:t>
      </w:r>
    </w:p>
    <w:p w14:paraId="32FCF56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结合材料，运用《当代国际政治与经济》相关知识，阐述国际社会在全球能源转型中应如何实现真正的多</w:t>
      </w:r>
    </w:p>
    <w:p w14:paraId="65FDF3E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边主义。</w:t>
      </w:r>
    </w:p>
    <w:p w14:paraId="24D5B17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6B732584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乡村工匠是扎根乡村的传统手工艺人，也是带动村民增收致富、推动乡村发展建设的重要技能人才。</w:t>
      </w:r>
    </w:p>
    <w:p w14:paraId="05D0F59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为培养乡村工匠，某地广泛调研、拓展思路，在此基础上，构建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多方主体、需求导向、形式多样、技能</w:t>
      </w:r>
    </w:p>
    <w:p w14:paraId="3289C86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本位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的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四位一体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培养模式，提高了乡村工匠的综合素质与能力。但问题至此还没有解决，打造乡村</w:t>
      </w:r>
    </w:p>
    <w:p w14:paraId="1FCBEC8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工匠队伍，是一项长期的系统性工程，培养好还得留得住。为留住乡村工匠，该地在充分了解乡村工匠安</w:t>
      </w:r>
    </w:p>
    <w:p w14:paraId="5244724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居、医疗、子女教育等方面的需求后，建立乡村工匠激励保障机制，解决了他们的后顾之忧。</w:t>
      </w:r>
    </w:p>
    <w:p w14:paraId="4F484FB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结合材料，运用“发散思维与聚合思维的关系”相关知识，说明该地打造乡村工匠队伍的思路。</w:t>
      </w:r>
    </w:p>
    <w:p w14:paraId="7BF0EDD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0BD6147F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ED2A7F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50103B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570B69B">
      <w:pPr>
        <w:spacing w:before="0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049" o:spid="_x0000_s1049" o:spt="75" type="#_x0000_t75" style="position:absolute;left:0pt;margin-left:404.15pt;margin-top:72.55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212.1pt;margin-top:473.3pt;height:5.75pt;width: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116.8pt;margin-top:769.7pt;height:2.75pt;width:2.7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47pt;margin-top:111.55pt;height:206.85pt;width:465.7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红嘴鸥每年冬天飞到我国的一些湖泊、湿地过冬。有媒体聚焦生态文明建设，对红嘴鸥迁徙路线中一</w:t>
      </w:r>
    </w:p>
    <w:p w14:paraId="7940A76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些地方政府采取的积极举措进行了报道。以下择取的是四地政府的部分举措：</w:t>
      </w:r>
    </w:p>
    <w:p w14:paraId="05637A0A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宁夏：利用卫星跟踪、遥感监测等技术</w:t>
      </w:r>
    </w:p>
    <w:p w14:paraId="4566E58F">
      <w:pPr>
        <w:spacing w:before="0" w:after="0" w:line="234" w:lineRule="exact"/>
        <w:ind w:left="0" w:right="1659" w:firstLine="4817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内蒙古：发挥护林员、草管员作用加强红嘴鸥 开展湿地生态监测，实时掌握红嘴鸥迁</w:t>
      </w:r>
    </w:p>
    <w:p w14:paraId="5ED6B0CB">
      <w:pPr>
        <w:spacing w:before="0" w:after="0" w:line="234" w:lineRule="exact"/>
        <w:ind w:left="0" w:right="1659" w:firstLine="4817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等候鸟栖息地保护；开展打击乱捕滥猎等违法 徙轨迹和栖息状况；2024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年争取上亿元</w:t>
      </w:r>
    </w:p>
    <w:p w14:paraId="70E6470F">
      <w:pPr>
        <w:spacing w:before="0" w:after="0" w:line="234" w:lineRule="exact"/>
        <w:ind w:left="0" w:right="2079" w:firstLine="4817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犯罪专项行动推进防沙治沙和国土绿化。 湿地保护修复资金，修复湿地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5.5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万亩。</w:t>
      </w:r>
    </w:p>
    <w:p w14:paraId="3BC98BAE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7"/>
          <w:sz w:val="21"/>
        </w:rPr>
        <w:t>云南：着力实施《云南省滇池保护条例》；</w:t>
      </w:r>
      <w:r>
        <w:rPr>
          <w:rFonts w:ascii="Times New Roman"/>
          <w:color w:val="000000"/>
          <w:spacing w:val="91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陕西：2024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年划拨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1.15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亿元资金用于黄河湿</w:t>
      </w:r>
    </w:p>
    <w:p w14:paraId="122CE02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实施滇池湖滨生态建设工程建成宽度约</w:t>
      </w:r>
      <w:r>
        <w:rPr>
          <w:rFonts w:ascii="Times New Roman"/>
          <w:color w:val="000000"/>
          <w:spacing w:val="1193"/>
          <w:sz w:val="21"/>
        </w:rPr>
        <w:t xml:space="preserve"> </w:t>
      </w:r>
      <w:r>
        <w:rPr>
          <w:rFonts w:ascii="楷体" w:hAnsi="楷体" w:cs="楷体"/>
          <w:color w:val="000000"/>
          <w:spacing w:val="-9"/>
          <w:sz w:val="21"/>
        </w:rPr>
        <w:t>地保护修复；出台《陕西省湿地保护条例》；联</w:t>
      </w:r>
    </w:p>
    <w:p w14:paraId="6B3BEC0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/>
          <w:color w:val="000000"/>
          <w:spacing w:val="0"/>
          <w:sz w:val="21"/>
        </w:rPr>
        <w:t>200</w:t>
      </w:r>
      <w:r>
        <w:rPr>
          <w:rFonts w:ascii="Times New Roman"/>
          <w:color w:val="000000"/>
          <w:spacing w:val="-17"/>
          <w:sz w:val="21"/>
        </w:rPr>
        <w:t xml:space="preserve"> </w:t>
      </w:r>
      <w:r>
        <w:rPr>
          <w:rFonts w:ascii="楷体" w:hAnsi="楷体" w:cs="楷体"/>
          <w:color w:val="000000"/>
          <w:spacing w:val="-4"/>
          <w:sz w:val="21"/>
        </w:rPr>
        <w:t>米的环湖闭合生态带，倡导公民爱鸥</w:t>
      </w:r>
      <w:r>
        <w:rPr>
          <w:rFonts w:ascii="Times New Roman"/>
          <w:color w:val="000000"/>
          <w:spacing w:val="112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动开展打击破坏红嘴鸥等野生动物资源违法犯</w:t>
      </w:r>
    </w:p>
    <w:p w14:paraId="23FF438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护鸥、文明观赏红嘴鸥。</w:t>
      </w:r>
      <w:r>
        <w:rPr>
          <w:rFonts w:ascii="Times New Roman"/>
          <w:color w:val="000000"/>
          <w:spacing w:val="245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罪专项行动。</w:t>
      </w:r>
    </w:p>
    <w:p w14:paraId="7759BAA7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结合材料，运用《政治与法治》相关知识，以“政府有为、公民参与，更好为红嘴鸥保驾护航”为主题写</w:t>
      </w:r>
    </w:p>
    <w:p w14:paraId="157B2F7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一篇短文。（要求：围绕主题，观点明确，表述清楚，条理清晰，200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宋体" w:hAnsi="宋体" w:cs="宋体"/>
          <w:color w:val="000000"/>
          <w:spacing w:val="-21"/>
          <w:sz w:val="21"/>
        </w:rPr>
        <w:t>字左右。）</w:t>
      </w:r>
    </w:p>
    <w:p w14:paraId="2560B65D">
      <w:pPr>
        <w:spacing w:before="820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7A093B63-79D6-47F1-BE7D-893AD7D385B2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B815278A-B853-4E50-99E0-DFD21647B757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75A32026-A5D2-4904-ADC9-3149937271E0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703420C0-F88E-4B34-BA50-5B8BDAB5276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07AA1805-ECD7-40F9-81FB-436B2D1AE4D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1A254A30-F222-41C8-8473-8B089506C42C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04C476DE-C5C4-45E4-A2F8-AF522652B10D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3BC1CDE3-7B4C-4454-8D74-34270B8D3B8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167078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E98DF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D098DA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72E6F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1AB12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0403D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CD533EF"/>
    <w:rsid w:val="47C63C4F"/>
    <w:rsid w:val="61E636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14</Pages>
  <Words>5011</Words>
  <Characters>5195</Characters>
  <Lines>0</Lines>
  <Paragraphs>195</Paragraphs>
  <TotalTime>3</TotalTime>
  <ScaleCrop>false</ScaleCrop>
  <LinksUpToDate>false</LinksUpToDate>
  <CharactersWithSpaces>5486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2025-07-07T01:13:00Z</dcterms:created>
  <dc:creator>Administrator</dc:creator>
  <cp:lastModifiedBy>上帝掷骰子吗</cp:lastModifiedBy>
  <dcterms:modified xsi:type="dcterms:W3CDTF">2026-02-10T06:56:21Z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C246B253D55843CCBDED79ECF3F7FE16_12</vt:lpwstr>
  </property>
</Properties>
</file>