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C03E9C">
      <w:pPr>
        <w:widowControl w:val="0"/>
        <w:spacing w:before="0" w:after="0" w:line="286" w:lineRule="auto"/>
        <w:jc w:val="center"/>
        <w:rPr>
          <w:sz w:val="32"/>
          <w:szCs w:val="32"/>
        </w:rPr>
      </w:pPr>
      <w:r>
        <w:rPr>
          <w:strike w:val="0"/>
          <w:sz w:val="32"/>
          <w:szCs w:val="32"/>
          <w:u w:val="none"/>
        </w:rPr>
        <w:drawing>
          <wp:anchor distT="0" distB="0" distL="114300" distR="114300" simplePos="0" relativeHeight="251659264" behindDoc="0" locked="0" layoutInCell="1" allowOverlap="1">
            <wp:simplePos x="0" y="0"/>
            <wp:positionH relativeFrom="page">
              <wp:posOffset>12357100</wp:posOffset>
            </wp:positionH>
            <wp:positionV relativeFrom="topMargin">
              <wp:posOffset>12014200</wp:posOffset>
            </wp:positionV>
            <wp:extent cx="285750" cy="323850"/>
            <wp:effectExtent l="0" t="0" r="0"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4"/>
                    <a:stretch>
                      <a:fillRect/>
                    </a:stretch>
                  </pic:blipFill>
                  <pic:spPr>
                    <a:xfrm>
                      <a:off x="0" y="0"/>
                      <a:ext cx="285750" cy="323850"/>
                    </a:xfrm>
                    <a:prstGeom prst="rect">
                      <a:avLst/>
                    </a:prstGeom>
                  </pic:spPr>
                </pic:pic>
              </a:graphicData>
            </a:graphic>
          </wp:anchor>
        </w:drawing>
      </w:r>
      <w:r>
        <w:rPr>
          <w:b/>
          <w:bCs/>
          <w:sz w:val="32"/>
          <w:szCs w:val="32"/>
        </w:rPr>
        <w:t>2024</w:t>
      </w:r>
      <w:r>
        <w:rPr>
          <w:rFonts w:ascii="宋体" w:hAnsi="宋体" w:eastAsia="宋体" w:cs="宋体"/>
          <w:b/>
          <w:bCs/>
          <w:sz w:val="32"/>
          <w:szCs w:val="32"/>
        </w:rPr>
        <w:t>年河北省中考道德与法治真题</w:t>
      </w:r>
    </w:p>
    <w:p w14:paraId="2315B5DD">
      <w:pPr>
        <w:widowControl w:val="0"/>
        <w:spacing w:before="0" w:after="0" w:line="286" w:lineRule="auto"/>
      </w:pPr>
      <w:r>
        <w:rPr>
          <w:rFonts w:ascii="宋体" w:hAnsi="宋体" w:eastAsia="宋体" w:cs="宋体"/>
          <w:b/>
          <w:bCs/>
        </w:rPr>
        <w:t>注意事项：</w:t>
      </w:r>
    </w:p>
    <w:p w14:paraId="135F39F1">
      <w:pPr>
        <w:widowControl w:val="0"/>
        <w:spacing w:before="0" w:after="0" w:line="286" w:lineRule="auto"/>
      </w:pPr>
      <w:r>
        <w:rPr>
          <w:b/>
          <w:bCs/>
        </w:rPr>
        <w:t>1</w:t>
      </w:r>
      <w:r>
        <w:rPr>
          <w:rFonts w:ascii="宋体" w:hAnsi="宋体" w:eastAsia="宋体" w:cs="宋体"/>
          <w:b/>
          <w:bCs/>
        </w:rPr>
        <w:t>．本试卷共</w:t>
      </w:r>
      <w:r>
        <w:rPr>
          <w:b/>
          <w:bCs/>
        </w:rPr>
        <w:t>8</w:t>
      </w:r>
      <w:r>
        <w:rPr>
          <w:rFonts w:ascii="宋体" w:hAnsi="宋体" w:eastAsia="宋体" w:cs="宋体"/>
          <w:b/>
          <w:bCs/>
        </w:rPr>
        <w:t>页，总分</w:t>
      </w:r>
      <w:r>
        <w:rPr>
          <w:b/>
          <w:bCs/>
        </w:rPr>
        <w:t>120</w:t>
      </w:r>
      <w:r>
        <w:rPr>
          <w:rFonts w:ascii="宋体" w:hAnsi="宋体" w:eastAsia="宋体" w:cs="宋体"/>
          <w:b/>
          <w:bCs/>
        </w:rPr>
        <w:t>分，考试时间</w:t>
      </w:r>
      <w:r>
        <w:rPr>
          <w:b/>
          <w:bCs/>
        </w:rPr>
        <w:t>120</w:t>
      </w:r>
      <w:r>
        <w:rPr>
          <w:rFonts w:ascii="宋体" w:hAnsi="宋体" w:eastAsia="宋体" w:cs="宋体"/>
          <w:b/>
          <w:bCs/>
        </w:rPr>
        <w:t>分钟。</w:t>
      </w:r>
    </w:p>
    <w:p w14:paraId="1E3753DD">
      <w:pPr>
        <w:widowControl w:val="0"/>
        <w:spacing w:before="0" w:after="0" w:line="286" w:lineRule="auto"/>
      </w:pPr>
      <w:r>
        <w:rPr>
          <w:b/>
          <w:bCs/>
        </w:rPr>
        <w:t>2</w:t>
      </w:r>
      <w:r>
        <w:rPr>
          <w:rFonts w:ascii="宋体" w:hAnsi="宋体" w:eastAsia="宋体" w:cs="宋体"/>
          <w:b/>
          <w:bCs/>
        </w:rPr>
        <w:t>．答题前，考生务必将姓名、准考证号填写在试卷和答题卡的相应位置。</w:t>
      </w:r>
    </w:p>
    <w:p w14:paraId="57019CA5">
      <w:pPr>
        <w:widowControl w:val="0"/>
        <w:spacing w:before="0" w:after="0" w:line="286" w:lineRule="auto"/>
      </w:pPr>
      <w:r>
        <w:rPr>
          <w:b/>
          <w:bCs/>
        </w:rPr>
        <w:t>3</w:t>
      </w:r>
      <w:r>
        <w:rPr>
          <w:rFonts w:ascii="宋体" w:hAnsi="宋体" w:eastAsia="宋体" w:cs="宋体"/>
          <w:b/>
          <w:bCs/>
        </w:rPr>
        <w:t>．所有答案均在答题卡上作答，在本试卷或草稿纸上作答无效。答题前，请仔细阅读答题卡上的“注意事项”，按照“注意事项”的规定答题。</w:t>
      </w:r>
    </w:p>
    <w:p w14:paraId="393C388B">
      <w:pPr>
        <w:widowControl w:val="0"/>
        <w:spacing w:before="0" w:after="0" w:line="286" w:lineRule="auto"/>
      </w:pPr>
      <w:r>
        <w:rPr>
          <w:b/>
          <w:bCs/>
        </w:rPr>
        <w:t>4</w:t>
      </w:r>
      <w:r>
        <w:rPr>
          <w:rFonts w:ascii="MS Mincho" w:hAnsi="MS Mincho" w:eastAsia="MS Mincho" w:cs="MS Mincho"/>
          <w:b/>
          <w:bCs/>
        </w:rPr>
        <w:t>．</w:t>
      </w:r>
      <w:r>
        <w:rPr>
          <w:rFonts w:ascii="宋体" w:hAnsi="宋体" w:eastAsia="宋体" w:cs="宋体"/>
          <w:b/>
          <w:bCs/>
        </w:rPr>
        <w:t>答选择题时，用</w:t>
      </w:r>
      <w:r>
        <w:rPr>
          <w:b/>
          <w:bCs/>
        </w:rPr>
        <w:t>2B</w:t>
      </w:r>
      <w:r>
        <w:rPr>
          <w:rFonts w:ascii="宋体" w:hAnsi="宋体" w:eastAsia="宋体" w:cs="宋体"/>
          <w:b/>
          <w:bCs/>
        </w:rPr>
        <w:t>铅笔将答题卡上对应题目的答案标号涂黑：答非选择题时，请在答题卡上对应题目的答题区域内答题。</w:t>
      </w:r>
    </w:p>
    <w:p w14:paraId="32BFB1C8">
      <w:pPr>
        <w:widowControl w:val="0"/>
        <w:spacing w:before="0" w:after="0" w:line="286" w:lineRule="auto"/>
      </w:pPr>
      <w:r>
        <w:rPr>
          <w:b/>
          <w:bCs/>
        </w:rPr>
        <w:t>5</w:t>
      </w:r>
      <w:r>
        <w:rPr>
          <w:rFonts w:ascii="宋体" w:hAnsi="宋体" w:eastAsia="宋体" w:cs="宋体"/>
          <w:b/>
          <w:bCs/>
        </w:rPr>
        <w:t>．文科综合开卷考试，考生须独立作答，不得讨论，不得传抄。</w:t>
      </w:r>
    </w:p>
    <w:p w14:paraId="69D92BD8">
      <w:pPr>
        <w:widowControl w:val="0"/>
        <w:spacing w:before="0" w:after="0" w:line="286" w:lineRule="auto"/>
      </w:pPr>
      <w:r>
        <w:rPr>
          <w:b/>
          <w:bCs/>
        </w:rPr>
        <w:t>6</w:t>
      </w:r>
      <w:r>
        <w:rPr>
          <w:rFonts w:ascii="宋体" w:hAnsi="宋体" w:eastAsia="宋体" w:cs="宋体"/>
          <w:b/>
          <w:bCs/>
        </w:rPr>
        <w:t>．考试结束时，请将本试卷和答题卡一并交回。</w:t>
      </w:r>
    </w:p>
    <w:p w14:paraId="0138B494">
      <w:pPr>
        <w:widowControl w:val="0"/>
        <w:spacing w:before="0" w:after="0" w:line="286" w:lineRule="auto"/>
      </w:pPr>
      <w:r>
        <w:rPr>
          <w:rFonts w:ascii="宋体" w:hAnsi="宋体" w:eastAsia="宋体" w:cs="宋体"/>
          <w:b/>
          <w:bCs/>
        </w:rPr>
        <w:t>一、选择题（本大题共</w:t>
      </w:r>
      <w:r>
        <w:rPr>
          <w:b/>
          <w:bCs/>
        </w:rPr>
        <w:t>23</w:t>
      </w:r>
      <w:r>
        <w:rPr>
          <w:rFonts w:ascii="宋体" w:hAnsi="宋体" w:eastAsia="宋体" w:cs="宋体"/>
          <w:b/>
          <w:bCs/>
        </w:rPr>
        <w:t>个小题，</w:t>
      </w:r>
      <w:r>
        <w:rPr>
          <w:b/>
          <w:bCs/>
        </w:rPr>
        <w:t>1~19</w:t>
      </w:r>
      <w:r>
        <w:rPr>
          <w:rFonts w:ascii="宋体" w:hAnsi="宋体" w:eastAsia="宋体" w:cs="宋体"/>
          <w:b/>
          <w:bCs/>
        </w:rPr>
        <w:t>小题每题</w:t>
      </w:r>
      <w:r>
        <w:rPr>
          <w:b/>
          <w:bCs/>
        </w:rPr>
        <w:t>2</w:t>
      </w:r>
      <w:r>
        <w:rPr>
          <w:rFonts w:ascii="宋体" w:hAnsi="宋体" w:eastAsia="宋体" w:cs="宋体"/>
          <w:b/>
          <w:bCs/>
        </w:rPr>
        <w:t>分，</w:t>
      </w:r>
      <w:r>
        <w:rPr>
          <w:b/>
          <w:bCs/>
        </w:rPr>
        <w:t>20~23</w:t>
      </w:r>
      <w:r>
        <w:rPr>
          <w:rFonts w:ascii="宋体" w:hAnsi="宋体" w:eastAsia="宋体" w:cs="宋体"/>
          <w:b/>
          <w:bCs/>
        </w:rPr>
        <w:t>小题每题</w:t>
      </w:r>
      <w:r>
        <w:rPr>
          <w:b/>
          <w:bCs/>
        </w:rPr>
        <w:t>3</w:t>
      </w:r>
      <w:r>
        <w:rPr>
          <w:rFonts w:ascii="宋体" w:hAnsi="宋体" w:eastAsia="宋体" w:cs="宋体"/>
          <w:b/>
          <w:bCs/>
        </w:rPr>
        <w:t>分，共</w:t>
      </w:r>
      <w:r>
        <w:rPr>
          <w:b/>
          <w:bCs/>
        </w:rPr>
        <w:t>50</w:t>
      </w:r>
      <w:r>
        <w:rPr>
          <w:rFonts w:ascii="宋体" w:hAnsi="宋体" w:eastAsia="宋体" w:cs="宋体"/>
          <w:b/>
          <w:bCs/>
        </w:rPr>
        <w:t>分。在每小题列出的四个选项中，只有一项最符合题目要求）</w:t>
      </w:r>
    </w:p>
    <w:p w14:paraId="3A0DB3F8">
      <w:pPr>
        <w:widowControl w:val="0"/>
        <w:spacing w:before="0" w:after="0" w:line="360" w:lineRule="auto"/>
        <w:rPr>
          <w:sz w:val="21"/>
          <w:szCs w:val="21"/>
        </w:rPr>
      </w:pPr>
      <w:r>
        <w:rPr>
          <w:sz w:val="21"/>
          <w:szCs w:val="21"/>
        </w:rPr>
        <w:t xml:space="preserve">1. </w:t>
      </w:r>
      <w:r>
        <w:rPr>
          <w:rFonts w:ascii="宋体" w:hAnsi="宋体" w:eastAsia="宋体" w:cs="宋体"/>
          <w:sz w:val="21"/>
          <w:szCs w:val="21"/>
        </w:rPr>
        <w:t>“中国式现代化，民生为大。”</w:t>
      </w:r>
      <w:r>
        <w:rPr>
          <w:sz w:val="21"/>
          <w:szCs w:val="21"/>
        </w:rPr>
        <w:t>2024</w:t>
      </w:r>
      <w:r>
        <w:rPr>
          <w:rFonts w:ascii="宋体" w:hAnsi="宋体" w:eastAsia="宋体" w:cs="宋体"/>
          <w:sz w:val="21"/>
          <w:szCs w:val="21"/>
        </w:rPr>
        <w:t>年，我国城镇新增就业</w:t>
      </w:r>
      <w:r>
        <w:rPr>
          <w:sz w:val="21"/>
          <w:szCs w:val="21"/>
        </w:rPr>
        <w:t>1200</w:t>
      </w:r>
      <w:r>
        <w:rPr>
          <w:rFonts w:ascii="宋体" w:hAnsi="宋体" w:eastAsia="宋体" w:cs="宋体"/>
          <w:sz w:val="21"/>
          <w:szCs w:val="21"/>
        </w:rPr>
        <w:t>万人以上，居民医保人均财政补助标准提高</w:t>
      </w:r>
      <w:r>
        <w:rPr>
          <w:sz w:val="21"/>
          <w:szCs w:val="21"/>
        </w:rPr>
        <w:t>30</w:t>
      </w:r>
      <w:r>
        <w:rPr>
          <w:rFonts w:ascii="宋体" w:hAnsi="宋体" w:eastAsia="宋体" w:cs="宋体"/>
          <w:sz w:val="21"/>
          <w:szCs w:val="21"/>
        </w:rPr>
        <w:t>元，城乡居民基础养老金月最低标准提高</w:t>
      </w:r>
      <w:r>
        <w:rPr>
          <w:sz w:val="21"/>
          <w:szCs w:val="21"/>
        </w:rPr>
        <w:t>20</w:t>
      </w:r>
      <w:r>
        <w:rPr>
          <w:rFonts w:ascii="宋体" w:hAnsi="宋体" w:eastAsia="宋体" w:cs="宋体"/>
          <w:sz w:val="21"/>
          <w:szCs w:val="21"/>
        </w:rPr>
        <w:t>元，提高公共文化场馆免费开放服务水平，改善农村寄宿制学校办学条件。政府工作报告中这些目标任务（</w:t>
      </w:r>
      <w:r>
        <w:rPr>
          <w:sz w:val="21"/>
          <w:szCs w:val="21"/>
        </w:rPr>
        <w:t xml:space="preserve">    </w:t>
      </w:r>
      <w:r>
        <w:rPr>
          <w:rFonts w:ascii="宋体" w:hAnsi="宋体" w:eastAsia="宋体" w:cs="宋体"/>
          <w:sz w:val="21"/>
          <w:szCs w:val="21"/>
        </w:rPr>
        <w:t>）</w:t>
      </w:r>
    </w:p>
    <w:p w14:paraId="3F53A39F">
      <w:pPr>
        <w:widowControl w:val="0"/>
        <w:spacing w:before="0" w:after="0" w:line="360" w:lineRule="auto"/>
        <w:rPr>
          <w:sz w:val="21"/>
          <w:szCs w:val="21"/>
        </w:rPr>
      </w:pPr>
      <w:r>
        <w:rPr>
          <w:rFonts w:ascii="宋体" w:hAnsi="宋体" w:eastAsia="宋体" w:cs="宋体"/>
          <w:sz w:val="21"/>
          <w:szCs w:val="21"/>
        </w:rPr>
        <w:t>①彰显了人民至上的价值取向</w:t>
      </w:r>
      <w:r>
        <w:rPr>
          <w:sz w:val="21"/>
          <w:szCs w:val="21"/>
        </w:rPr>
        <w:t xml:space="preserve">        </w:t>
      </w:r>
    </w:p>
    <w:p w14:paraId="1016F529">
      <w:pPr>
        <w:widowControl w:val="0"/>
        <w:spacing w:before="0" w:after="0" w:line="360" w:lineRule="auto"/>
        <w:rPr>
          <w:sz w:val="21"/>
          <w:szCs w:val="21"/>
        </w:rPr>
      </w:pPr>
      <w:r>
        <w:rPr>
          <w:rFonts w:ascii="宋体" w:hAnsi="宋体" w:eastAsia="宋体" w:cs="宋体"/>
          <w:sz w:val="21"/>
          <w:szCs w:val="21"/>
        </w:rPr>
        <w:t>②体现了增进民生福祉的发展目的</w:t>
      </w:r>
    </w:p>
    <w:p w14:paraId="31279CB3">
      <w:pPr>
        <w:widowControl w:val="0"/>
        <w:spacing w:before="0" w:after="0" w:line="360" w:lineRule="auto"/>
        <w:rPr>
          <w:sz w:val="21"/>
          <w:szCs w:val="21"/>
        </w:rPr>
      </w:pPr>
      <w:r>
        <w:rPr>
          <w:rFonts w:ascii="宋体" w:hAnsi="宋体" w:eastAsia="宋体" w:cs="宋体"/>
          <w:sz w:val="21"/>
          <w:szCs w:val="21"/>
        </w:rPr>
        <w:t>③丰富了人民民主的基本内涵</w:t>
      </w:r>
      <w:r>
        <w:rPr>
          <w:sz w:val="21"/>
          <w:szCs w:val="21"/>
        </w:rPr>
        <w:t xml:space="preserve">        </w:t>
      </w:r>
    </w:p>
    <w:p w14:paraId="02CB4D8F">
      <w:pPr>
        <w:widowControl w:val="0"/>
        <w:spacing w:before="0" w:after="0" w:line="360" w:lineRule="auto"/>
        <w:rPr>
          <w:sz w:val="21"/>
          <w:szCs w:val="21"/>
        </w:rPr>
      </w:pPr>
      <w:r>
        <w:rPr>
          <w:rFonts w:ascii="宋体" w:hAnsi="宋体" w:eastAsia="宋体" w:cs="宋体"/>
          <w:sz w:val="21"/>
          <w:szCs w:val="21"/>
        </w:rPr>
        <w:t>④奠定了社会保障体系的法治基础</w:t>
      </w:r>
    </w:p>
    <w:p w14:paraId="52751914">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①②</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②③</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③④</w:t>
      </w:r>
    </w:p>
    <w:p w14:paraId="65F6CF3E">
      <w:pPr>
        <w:widowControl w:val="0"/>
        <w:spacing w:before="0" w:after="0" w:line="360" w:lineRule="auto"/>
        <w:rPr>
          <w:sz w:val="21"/>
          <w:szCs w:val="21"/>
        </w:rPr>
      </w:pPr>
      <w:r>
        <w:rPr>
          <w:sz w:val="21"/>
          <w:szCs w:val="21"/>
        </w:rPr>
        <w:t xml:space="preserve">2. </w:t>
      </w:r>
      <w:r>
        <w:rPr>
          <w:rFonts w:ascii="宋体" w:hAnsi="宋体" w:eastAsia="宋体" w:cs="宋体"/>
          <w:sz w:val="21"/>
          <w:szCs w:val="21"/>
        </w:rPr>
        <w:t>日常生活中特定场所</w:t>
      </w:r>
      <w:r>
        <w:rPr>
          <w:strike w:val="0"/>
          <w:sz w:val="21"/>
          <w:szCs w:val="21"/>
          <w:u w:val="none"/>
        </w:rPr>
        <w:drawing>
          <wp:inline distT="0" distB="0" distL="114300" distR="114300">
            <wp:extent cx="133350" cy="180975"/>
            <wp:effectExtent l="0" t="0" r="0" b="889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5"/>
                    <a:stretch>
                      <a:fillRect/>
                    </a:stretch>
                  </pic:blipFill>
                  <pic:spPr>
                    <a:xfrm>
                      <a:off x="0" y="0"/>
                      <a:ext cx="133350" cy="180975"/>
                    </a:xfrm>
                    <a:prstGeom prst="rect">
                      <a:avLst/>
                    </a:prstGeom>
                  </pic:spPr>
                </pic:pic>
              </a:graphicData>
            </a:graphic>
          </wp:inline>
        </w:drawing>
      </w:r>
      <w:r>
        <w:rPr>
          <w:rFonts w:ascii="宋体" w:hAnsi="宋体" w:eastAsia="宋体" w:cs="宋体"/>
          <w:sz w:val="21"/>
          <w:szCs w:val="21"/>
        </w:rPr>
        <w:t>行为规范往往体现着对人的文明修养的要求。下面剧院“文明观演温馨提示”体现的文明修养的要求是（</w:t>
      </w:r>
      <w:r>
        <w:rPr>
          <w:sz w:val="21"/>
          <w:szCs w:val="21"/>
        </w:rPr>
        <w:t xml:space="preserve">    </w:t>
      </w:r>
      <w:r>
        <w:rPr>
          <w:rFonts w:ascii="宋体" w:hAnsi="宋体" w:eastAsia="宋体" w:cs="宋体"/>
          <w:sz w:val="21"/>
          <w:szCs w:val="21"/>
        </w:rPr>
        <w:t>）</w:t>
      </w:r>
    </w:p>
    <w:tbl>
      <w:tblPr>
        <w:tblStyle w:val="4"/>
        <w:tblW w:w="4080"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4080"/>
      </w:tblGrid>
      <w:tr w14:paraId="0F3F071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4080" w:type="dxa"/>
            <w:noWrap w:val="0"/>
            <w:tcMar>
              <w:top w:w="76" w:type="dxa"/>
              <w:left w:w="120" w:type="dxa"/>
              <w:bottom w:w="76" w:type="dxa"/>
              <w:right w:w="120" w:type="dxa"/>
            </w:tcMar>
            <w:vAlign w:val="center"/>
          </w:tcPr>
          <w:p w14:paraId="66A06724">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文明观演温馨提示</w:t>
            </w:r>
          </w:p>
          <w:p w14:paraId="37FFF884">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◇将手机调至静音。</w:t>
            </w:r>
          </w:p>
          <w:p w14:paraId="0A3FC221">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◇不大声喧哗或窃窃私语。</w:t>
            </w:r>
          </w:p>
          <w:p w14:paraId="59EFABBF">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◇不要随意走动。</w:t>
            </w:r>
          </w:p>
          <w:p w14:paraId="43C97F73">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◇请勿在剧场内饮食。</w:t>
            </w:r>
          </w:p>
        </w:tc>
      </w:tr>
    </w:tbl>
    <w:p w14:paraId="2D1D481D">
      <w:pPr>
        <w:widowControl w:val="0"/>
        <w:spacing w:before="0" w:after="0" w:line="360" w:lineRule="auto"/>
        <w:rPr>
          <w:sz w:val="21"/>
          <w:szCs w:val="21"/>
        </w:rPr>
      </w:pPr>
      <w:r>
        <w:rPr>
          <w:rFonts w:ascii="宋体" w:hAnsi="宋体" w:eastAsia="宋体" w:cs="宋体"/>
          <w:sz w:val="21"/>
          <w:szCs w:val="21"/>
        </w:rPr>
        <w:t>①诚实守信</w:t>
      </w:r>
      <w:r>
        <w:rPr>
          <w:sz w:val="21"/>
          <w:szCs w:val="21"/>
        </w:rPr>
        <w:t xml:space="preserve">        </w:t>
      </w:r>
      <w:r>
        <w:rPr>
          <w:rFonts w:ascii="宋体" w:hAnsi="宋体" w:eastAsia="宋体" w:cs="宋体"/>
          <w:sz w:val="21"/>
          <w:szCs w:val="21"/>
        </w:rPr>
        <w:t>②遵守规则</w:t>
      </w:r>
      <w:r>
        <w:rPr>
          <w:sz w:val="21"/>
          <w:szCs w:val="21"/>
        </w:rPr>
        <w:t xml:space="preserve">        </w:t>
      </w:r>
      <w:r>
        <w:rPr>
          <w:rFonts w:ascii="宋体" w:hAnsi="宋体" w:eastAsia="宋体" w:cs="宋体"/>
          <w:sz w:val="21"/>
          <w:szCs w:val="21"/>
        </w:rPr>
        <w:t>③助人为乐</w:t>
      </w:r>
      <w:r>
        <w:rPr>
          <w:sz w:val="21"/>
          <w:szCs w:val="21"/>
        </w:rPr>
        <w:t xml:space="preserve">        </w:t>
      </w:r>
      <w:r>
        <w:rPr>
          <w:rFonts w:ascii="宋体" w:hAnsi="宋体" w:eastAsia="宋体" w:cs="宋体"/>
          <w:sz w:val="21"/>
          <w:szCs w:val="21"/>
        </w:rPr>
        <w:t>④尊重他人</w:t>
      </w:r>
    </w:p>
    <w:p w14:paraId="0F1907BF">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①③</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②③</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②④</w:t>
      </w:r>
    </w:p>
    <w:p w14:paraId="11E89F1B">
      <w:pPr>
        <w:widowControl w:val="0"/>
        <w:spacing w:before="0" w:after="0" w:line="360" w:lineRule="auto"/>
        <w:rPr>
          <w:sz w:val="21"/>
          <w:szCs w:val="21"/>
        </w:rPr>
      </w:pPr>
      <w:r>
        <w:rPr>
          <w:sz w:val="21"/>
          <w:szCs w:val="21"/>
        </w:rPr>
        <w:t xml:space="preserve">3. </w:t>
      </w:r>
      <w:r>
        <w:rPr>
          <w:rFonts w:ascii="宋体" w:hAnsi="宋体" w:eastAsia="宋体" w:cs="宋体"/>
          <w:sz w:val="21"/>
          <w:szCs w:val="21"/>
        </w:rPr>
        <w:t>“界碑在我面前，人民在我身后，祖国在我心中，责任在我肩上。”新春佳节，祖国北疆零下</w:t>
      </w:r>
      <w:r>
        <w:rPr>
          <w:sz w:val="21"/>
          <w:szCs w:val="21"/>
        </w:rPr>
        <w:t>20</w:t>
      </w:r>
      <w:r>
        <w:rPr>
          <w:rFonts w:ascii="宋体" w:hAnsi="宋体" w:eastAsia="宋体" w:cs="宋体"/>
          <w:sz w:val="21"/>
          <w:szCs w:val="21"/>
        </w:rPr>
        <w:t>多摄氏度的低温中，陆军某旅三角山边防连巡逻官兵行至国门前，目光坚定地望向哨所飘扬的国旗，嘹亮的口号在边防线上经久同响。这一场景让我们感受到戍边官兵</w:t>
      </w:r>
      <w:r>
        <w:rPr>
          <w:strike w:val="0"/>
          <w:sz w:val="21"/>
          <w:szCs w:val="21"/>
          <w:u w:val="none"/>
        </w:rPr>
        <w:drawing>
          <wp:inline distT="0" distB="0" distL="114300" distR="114300">
            <wp:extent cx="28575" cy="28575"/>
            <wp:effectExtent l="0" t="0" r="0" b="0"/>
            <wp:docPr id="100013" name="图片 100013" descr="page number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page number 0"/>
                    <pic:cNvPicPr>
                      <a:picLocks noChangeAspect="1"/>
                    </pic:cNvPicPr>
                  </pic:nvPicPr>
                  <pic:blipFill>
                    <a:blip r:embed="rId16"/>
                    <a:stretch>
                      <a:fillRect/>
                    </a:stretch>
                  </pic:blipFill>
                  <pic:spPr>
                    <a:xfrm>
                      <a:off x="0" y="0"/>
                      <a:ext cx="28575" cy="28575"/>
                    </a:xfrm>
                    <a:prstGeom prst="rect">
                      <a:avLst/>
                    </a:prstGeom>
                  </pic:spPr>
                </pic:pic>
              </a:graphicData>
            </a:graphic>
          </wp:inline>
        </w:drawing>
      </w:r>
    </w:p>
    <w:p w14:paraId="4E3F101E">
      <w:pPr>
        <w:sectPr>
          <w:headerReference r:id="rId5" w:type="first"/>
          <w:footerReference r:id="rId8" w:type="first"/>
          <w:headerReference r:id="rId3" w:type="default"/>
          <w:footerReference r:id="rId6" w:type="default"/>
          <w:headerReference r:id="rId4" w:type="even"/>
          <w:footerReference r:id="rId7" w:type="even"/>
          <w:type w:val="continuous"/>
          <w:pgSz w:w="11927" w:h="16875"/>
          <w:pgMar w:top="800" w:right="1120" w:bottom="540" w:left="1120" w:header="708" w:footer="708" w:gutter="0"/>
          <w:cols w:space="708" w:num="1"/>
          <w:docGrid w:linePitch="360" w:charSpace="0"/>
        </w:sectPr>
      </w:pPr>
    </w:p>
    <w:p w14:paraId="581C8312">
      <w:pPr>
        <w:widowControl w:val="0"/>
        <w:spacing w:before="0" w:after="0" w:line="360" w:lineRule="auto"/>
        <w:rPr>
          <w:sz w:val="21"/>
          <w:szCs w:val="21"/>
        </w:rPr>
      </w:pPr>
      <w:r>
        <w:rPr>
          <w:rFonts w:ascii="宋体" w:hAnsi="宋体" w:eastAsia="宋体" w:cs="宋体"/>
          <w:sz w:val="21"/>
          <w:szCs w:val="21"/>
        </w:rPr>
        <w:t>①守卫边防、献身边防的使命担当</w:t>
      </w:r>
      <w:r>
        <w:rPr>
          <w:sz w:val="21"/>
          <w:szCs w:val="21"/>
        </w:rPr>
        <w:t xml:space="preserve">        </w:t>
      </w:r>
    </w:p>
    <w:p w14:paraId="11C7118A">
      <w:pPr>
        <w:widowControl w:val="0"/>
        <w:spacing w:before="0" w:after="0" w:line="360" w:lineRule="auto"/>
        <w:rPr>
          <w:sz w:val="21"/>
          <w:szCs w:val="21"/>
        </w:rPr>
      </w:pPr>
      <w:r>
        <w:rPr>
          <w:rFonts w:ascii="宋体" w:hAnsi="宋体" w:eastAsia="宋体" w:cs="宋体"/>
          <w:sz w:val="21"/>
          <w:szCs w:val="21"/>
        </w:rPr>
        <w:t>②平等待人、宽以待人的处世原则</w:t>
      </w:r>
    </w:p>
    <w:p w14:paraId="650C6E7D">
      <w:pPr>
        <w:widowControl w:val="0"/>
        <w:spacing w:before="0" w:after="0" w:line="360" w:lineRule="auto"/>
        <w:rPr>
          <w:sz w:val="21"/>
          <w:szCs w:val="21"/>
        </w:rPr>
      </w:pPr>
      <w:r>
        <w:rPr>
          <w:rFonts w:ascii="宋体" w:hAnsi="宋体" w:eastAsia="宋体" w:cs="宋体"/>
          <w:sz w:val="21"/>
          <w:szCs w:val="21"/>
        </w:rPr>
        <w:t>③维护国家主权、安全的坚定决心</w:t>
      </w:r>
      <w:r>
        <w:rPr>
          <w:sz w:val="21"/>
          <w:szCs w:val="21"/>
        </w:rPr>
        <w:t xml:space="preserve">        </w:t>
      </w:r>
    </w:p>
    <w:p w14:paraId="14755D05">
      <w:pPr>
        <w:widowControl w:val="0"/>
        <w:spacing w:before="0" w:after="0" w:line="360" w:lineRule="auto"/>
        <w:rPr>
          <w:sz w:val="21"/>
          <w:szCs w:val="21"/>
        </w:rPr>
      </w:pPr>
      <w:r>
        <w:rPr>
          <w:rFonts w:ascii="宋体" w:hAnsi="宋体" w:eastAsia="宋体" w:cs="宋体"/>
          <w:sz w:val="21"/>
          <w:szCs w:val="21"/>
        </w:rPr>
        <w:t>④实现国防和军队现代化的崇高理想</w:t>
      </w:r>
    </w:p>
    <w:p w14:paraId="1A7A6029">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w:t>
      </w:r>
      <w:r>
        <w:rPr>
          <w:strike w:val="0"/>
          <w:sz w:val="21"/>
          <w:szCs w:val="21"/>
          <w:u w:val="none"/>
        </w:rPr>
        <w:drawing>
          <wp:inline distT="0" distB="0" distL="114300" distR="114300">
            <wp:extent cx="38100" cy="9525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7"/>
                    <a:stretch>
                      <a:fillRect/>
                    </a:stretch>
                  </pic:blipFill>
                  <pic:spPr>
                    <a:xfrm>
                      <a:off x="0" y="0"/>
                      <a:ext cx="38100" cy="95250"/>
                    </a:xfrm>
                    <a:prstGeom prst="rect">
                      <a:avLst/>
                    </a:prstGeom>
                  </pic:spPr>
                </pic:pic>
              </a:graphicData>
            </a:graphic>
          </wp:inline>
        </w:drawing>
      </w:r>
      <w:r>
        <w:rPr>
          <w:sz w:val="21"/>
          <w:szCs w:val="21"/>
        </w:rPr>
        <w:t xml:space="preserve"> </w:t>
      </w:r>
      <w:r>
        <w:rPr>
          <w:rFonts w:ascii="宋体" w:hAnsi="宋体" w:eastAsia="宋体" w:cs="宋体"/>
          <w:sz w:val="21"/>
          <w:szCs w:val="21"/>
        </w:rPr>
        <w:t>①②</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①③</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②④</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③④</w:t>
      </w:r>
    </w:p>
    <w:p w14:paraId="41D4B7F3">
      <w:pPr>
        <w:widowControl w:val="0"/>
        <w:spacing w:before="0" w:after="0" w:line="360" w:lineRule="auto"/>
        <w:rPr>
          <w:sz w:val="21"/>
          <w:szCs w:val="21"/>
        </w:rPr>
      </w:pPr>
      <w:r>
        <w:rPr>
          <w:sz w:val="21"/>
          <w:szCs w:val="21"/>
        </w:rPr>
        <w:t xml:space="preserve">4. </w:t>
      </w:r>
      <w:r>
        <w:rPr>
          <w:rFonts w:ascii="宋体" w:hAnsi="宋体" w:eastAsia="宋体" w:cs="宋体"/>
          <w:sz w:val="21"/>
          <w:szCs w:val="21"/>
        </w:rPr>
        <w:t>备案审查制度是中国特色的宪法法律监督制度。在备案审查工作中应注重审查有关规范性文件是否存在不符合宪法规定、宪法原则、宪法精神的内容，及时督促纠正与宪法相抵触或者存在合宪性问题的规范性文件。由此可见，这一制度的实施旨在（</w:t>
      </w:r>
      <w:r>
        <w:rPr>
          <w:sz w:val="21"/>
          <w:szCs w:val="21"/>
        </w:rPr>
        <w:t xml:space="preserve">    </w:t>
      </w:r>
      <w:r>
        <w:rPr>
          <w:rFonts w:ascii="宋体" w:hAnsi="宋体" w:eastAsia="宋体" w:cs="宋体"/>
          <w:sz w:val="21"/>
          <w:szCs w:val="21"/>
        </w:rPr>
        <w:t>）</w:t>
      </w:r>
    </w:p>
    <w:p w14:paraId="38196885">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描绘法治蓝图</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保障宪法法律实施</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确认公民权利</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解决各种社会矛盾</w:t>
      </w:r>
    </w:p>
    <w:p w14:paraId="21707B44">
      <w:pPr>
        <w:widowControl w:val="0"/>
        <w:spacing w:before="0" w:after="0" w:line="360" w:lineRule="auto"/>
        <w:ind w:firstLine="420"/>
        <w:rPr>
          <w:sz w:val="21"/>
          <w:szCs w:val="21"/>
        </w:rPr>
      </w:pPr>
      <w:r>
        <w:rPr>
          <w:rFonts w:ascii="楷体" w:hAnsi="楷体" w:eastAsia="楷体" w:cs="楷体"/>
          <w:sz w:val="21"/>
          <w:szCs w:val="21"/>
        </w:rPr>
        <w:t>我国持续推进良法善治，为未成年人的茁壮成长保驾护航。完成下面小题。</w:t>
      </w:r>
    </w:p>
    <w:p w14:paraId="23461F42">
      <w:pPr>
        <w:widowControl w:val="0"/>
        <w:spacing w:before="0" w:after="0" w:line="360" w:lineRule="auto"/>
        <w:rPr>
          <w:sz w:val="21"/>
          <w:szCs w:val="21"/>
        </w:rPr>
      </w:pPr>
      <w:r>
        <w:rPr>
          <w:sz w:val="21"/>
          <w:szCs w:val="21"/>
        </w:rPr>
        <w:t xml:space="preserve">5. </w:t>
      </w:r>
      <w:r>
        <w:rPr>
          <w:rFonts w:ascii="宋体" w:hAnsi="宋体" w:eastAsia="宋体" w:cs="宋体"/>
          <w:sz w:val="21"/>
          <w:szCs w:val="21"/>
        </w:rPr>
        <w:t>未成年人通过网络便利学习和丰富生活</w:t>
      </w:r>
      <w:r>
        <w:rPr>
          <w:strike w:val="0"/>
          <w:sz w:val="21"/>
          <w:szCs w:val="21"/>
          <w:u w:val="none"/>
        </w:rPr>
        <w:drawing>
          <wp:inline distT="0" distB="0" distL="114300" distR="114300">
            <wp:extent cx="133350" cy="180975"/>
            <wp:effectExtent l="0" t="0" r="0" b="889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5"/>
                    <a:stretch>
                      <a:fillRect/>
                    </a:stretch>
                  </pic:blipFill>
                  <pic:spPr>
                    <a:xfrm>
                      <a:off x="0" y="0"/>
                      <a:ext cx="133350" cy="180975"/>
                    </a:xfrm>
                    <a:prstGeom prst="rect">
                      <a:avLst/>
                    </a:prstGeom>
                  </pic:spPr>
                </pic:pic>
              </a:graphicData>
            </a:graphic>
          </wp:inline>
        </w:drawing>
      </w:r>
      <w:r>
        <w:rPr>
          <w:rFonts w:ascii="宋体" w:hAnsi="宋体" w:eastAsia="宋体" w:cs="宋体"/>
          <w:sz w:val="21"/>
          <w:szCs w:val="21"/>
        </w:rPr>
        <w:t>同时，也面临着违法和不良信息侵害、个人信息泄露、网络沉迷等多重风险。</w:t>
      </w:r>
      <w:r>
        <w:rPr>
          <w:sz w:val="21"/>
          <w:szCs w:val="21"/>
        </w:rPr>
        <w:t>2024</w:t>
      </w:r>
      <w:r>
        <w:rPr>
          <w:rFonts w:ascii="宋体" w:hAnsi="宋体" w:eastAsia="宋体" w:cs="宋体"/>
          <w:sz w:val="21"/>
          <w:szCs w:val="21"/>
        </w:rPr>
        <w:t>年</w:t>
      </w:r>
      <w:r>
        <w:rPr>
          <w:sz w:val="21"/>
          <w:szCs w:val="21"/>
        </w:rPr>
        <w:t>1</w:t>
      </w:r>
      <w:r>
        <w:rPr>
          <w:rFonts w:ascii="宋体" w:hAnsi="宋体" w:eastAsia="宋体" w:cs="宋体"/>
          <w:sz w:val="21"/>
          <w:szCs w:val="21"/>
        </w:rPr>
        <w:t>月</w:t>
      </w:r>
      <w:r>
        <w:rPr>
          <w:sz w:val="21"/>
          <w:szCs w:val="21"/>
        </w:rPr>
        <w:t>1</w:t>
      </w:r>
      <w:r>
        <w:rPr>
          <w:rFonts w:ascii="宋体" w:hAnsi="宋体" w:eastAsia="宋体" w:cs="宋体"/>
          <w:sz w:val="21"/>
          <w:szCs w:val="21"/>
        </w:rPr>
        <w:t>日起施行的《未成年人网络保护条例》，为未成年人在网络空间的健康成长提供了坚实的法制保障。这提示未成年人在网络生活中要（</w:t>
      </w:r>
      <w:r>
        <w:rPr>
          <w:sz w:val="21"/>
          <w:szCs w:val="21"/>
        </w:rPr>
        <w:t xml:space="preserve">    </w:t>
      </w:r>
      <w:r>
        <w:rPr>
          <w:rFonts w:ascii="宋体" w:hAnsi="宋体" w:eastAsia="宋体" w:cs="宋体"/>
          <w:sz w:val="21"/>
          <w:szCs w:val="21"/>
        </w:rPr>
        <w:t>）</w:t>
      </w:r>
    </w:p>
    <w:p w14:paraId="5225F401">
      <w:pPr>
        <w:widowControl w:val="0"/>
        <w:spacing w:before="0" w:after="0" w:line="360" w:lineRule="auto"/>
        <w:rPr>
          <w:sz w:val="21"/>
          <w:szCs w:val="21"/>
        </w:rPr>
      </w:pPr>
      <w:r>
        <w:rPr>
          <w:rFonts w:ascii="宋体" w:hAnsi="宋体" w:eastAsia="宋体" w:cs="宋体"/>
          <w:sz w:val="21"/>
          <w:szCs w:val="21"/>
        </w:rPr>
        <w:t>①丰富交往方式</w:t>
      </w:r>
      <w:r>
        <w:rPr>
          <w:sz w:val="21"/>
          <w:szCs w:val="21"/>
        </w:rPr>
        <w:t xml:space="preserve">      </w:t>
      </w:r>
      <w:r>
        <w:rPr>
          <w:rFonts w:ascii="宋体" w:hAnsi="宋体" w:eastAsia="宋体" w:cs="宋体"/>
          <w:sz w:val="21"/>
          <w:szCs w:val="21"/>
        </w:rPr>
        <w:t>②增强法律意识</w:t>
      </w:r>
      <w:r>
        <w:rPr>
          <w:sz w:val="21"/>
          <w:szCs w:val="21"/>
        </w:rPr>
        <w:t xml:space="preserve">      </w:t>
      </w:r>
      <w:r>
        <w:rPr>
          <w:rFonts w:ascii="宋体" w:hAnsi="宋体" w:eastAsia="宋体" w:cs="宋体"/>
          <w:sz w:val="21"/>
          <w:szCs w:val="21"/>
        </w:rPr>
        <w:t>③提高自护能力</w:t>
      </w:r>
      <w:r>
        <w:rPr>
          <w:sz w:val="21"/>
          <w:szCs w:val="21"/>
        </w:rPr>
        <w:t xml:space="preserve">      </w:t>
      </w:r>
      <w:r>
        <w:rPr>
          <w:rFonts w:ascii="宋体" w:hAnsi="宋体" w:eastAsia="宋体" w:cs="宋体"/>
          <w:sz w:val="21"/>
          <w:szCs w:val="21"/>
        </w:rPr>
        <w:t>④享受网络自由</w:t>
      </w:r>
    </w:p>
    <w:p w14:paraId="648D7C07">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①③</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②③</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②④</w:t>
      </w:r>
    </w:p>
    <w:p w14:paraId="3D49BFA7">
      <w:pPr>
        <w:widowControl w:val="0"/>
        <w:spacing w:before="0" w:after="0" w:line="360" w:lineRule="auto"/>
        <w:rPr>
          <w:sz w:val="21"/>
          <w:szCs w:val="21"/>
        </w:rPr>
      </w:pPr>
      <w:r>
        <w:rPr>
          <w:sz w:val="21"/>
          <w:szCs w:val="21"/>
        </w:rPr>
        <w:t>6. 2024</w:t>
      </w:r>
      <w:r>
        <w:rPr>
          <w:rFonts w:ascii="宋体" w:hAnsi="宋体" w:eastAsia="宋体" w:cs="宋体"/>
          <w:sz w:val="21"/>
          <w:szCs w:val="21"/>
        </w:rPr>
        <w:t>年最高人民法院工作报告指出：全方位呵护少年儿童健康成长，对侵害未成年人犯罪零容忍；依法惩治未成年人犯罪，宽容但不纵容。这让我们体会到（</w:t>
      </w:r>
      <w:r>
        <w:rPr>
          <w:sz w:val="21"/>
          <w:szCs w:val="21"/>
        </w:rPr>
        <w:t xml:space="preserve">    </w:t>
      </w:r>
      <w:r>
        <w:rPr>
          <w:rFonts w:ascii="宋体" w:hAnsi="宋体" w:eastAsia="宋体" w:cs="宋体"/>
          <w:sz w:val="21"/>
          <w:szCs w:val="21"/>
        </w:rPr>
        <w:t>）</w:t>
      </w:r>
    </w:p>
    <w:p w14:paraId="59316A3A">
      <w:pPr>
        <w:widowControl w:val="0"/>
        <w:spacing w:before="0" w:after="0" w:line="360" w:lineRule="auto"/>
        <w:rPr>
          <w:sz w:val="21"/>
          <w:szCs w:val="21"/>
        </w:rPr>
      </w:pPr>
      <w:r>
        <w:rPr>
          <w:rFonts w:ascii="宋体" w:hAnsi="宋体" w:eastAsia="宋体" w:cs="宋体"/>
          <w:sz w:val="21"/>
          <w:szCs w:val="21"/>
        </w:rPr>
        <w:t>①法治的力量</w:t>
      </w:r>
      <w:r>
        <w:rPr>
          <w:sz w:val="21"/>
          <w:szCs w:val="21"/>
        </w:rPr>
        <w:t xml:space="preserve">      </w:t>
      </w:r>
      <w:r>
        <w:rPr>
          <w:rFonts w:ascii="宋体" w:hAnsi="宋体" w:eastAsia="宋体" w:cs="宋体"/>
          <w:sz w:val="21"/>
          <w:szCs w:val="21"/>
        </w:rPr>
        <w:t>②司法维护公平正义</w:t>
      </w:r>
      <w:r>
        <w:rPr>
          <w:sz w:val="21"/>
          <w:szCs w:val="21"/>
        </w:rPr>
        <w:t xml:space="preserve">      </w:t>
      </w:r>
      <w:r>
        <w:rPr>
          <w:rFonts w:ascii="宋体" w:hAnsi="宋体" w:eastAsia="宋体" w:cs="宋体"/>
          <w:sz w:val="21"/>
          <w:szCs w:val="21"/>
        </w:rPr>
        <w:t>③民主的价值</w:t>
      </w:r>
      <w:r>
        <w:rPr>
          <w:sz w:val="21"/>
          <w:szCs w:val="21"/>
        </w:rPr>
        <w:t xml:space="preserve">      </w:t>
      </w:r>
      <w:r>
        <w:rPr>
          <w:rFonts w:ascii="宋体" w:hAnsi="宋体" w:eastAsia="宋体" w:cs="宋体"/>
          <w:sz w:val="21"/>
          <w:szCs w:val="21"/>
        </w:rPr>
        <w:t>④道德滋养法治精神</w:t>
      </w:r>
    </w:p>
    <w:p w14:paraId="56CBF724">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①②</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②③</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③④</w:t>
      </w:r>
    </w:p>
    <w:p w14:paraId="3A3C32A8">
      <w:pPr>
        <w:widowControl w:val="0"/>
        <w:spacing w:before="0" w:after="0" w:line="360" w:lineRule="auto"/>
        <w:rPr>
          <w:sz w:val="21"/>
          <w:szCs w:val="21"/>
        </w:rPr>
      </w:pPr>
      <w:r>
        <w:rPr>
          <w:sz w:val="21"/>
          <w:szCs w:val="21"/>
        </w:rPr>
        <w:t xml:space="preserve">7. </w:t>
      </w:r>
      <w:r>
        <w:rPr>
          <w:rFonts w:ascii="宋体" w:hAnsi="宋体" w:eastAsia="宋体" w:cs="宋体"/>
          <w:sz w:val="21"/>
          <w:szCs w:val="21"/>
        </w:rPr>
        <w:t>《天津市滨海新区行政检查办法》推出“电子检查证”行政检查制度。检查前，执法人员要向被检查单位出示“电子检查证”。检查中，被检查单位可以通过扫描“电子检查证”上的二维码，了解发证机关、检查事项和监督投诉渠道等内容。这一制度的实施能够促进行政执法单位（</w:t>
      </w:r>
      <w:r>
        <w:rPr>
          <w:sz w:val="21"/>
          <w:szCs w:val="21"/>
        </w:rPr>
        <w:t xml:space="preserve">    </w:t>
      </w:r>
      <w:r>
        <w:rPr>
          <w:rFonts w:ascii="宋体" w:hAnsi="宋体" w:eastAsia="宋体" w:cs="宋体"/>
          <w:sz w:val="21"/>
          <w:szCs w:val="21"/>
        </w:rPr>
        <w:t>）</w:t>
      </w:r>
    </w:p>
    <w:p w14:paraId="7D6773B2">
      <w:pPr>
        <w:widowControl w:val="0"/>
        <w:spacing w:before="0" w:after="0" w:line="360" w:lineRule="auto"/>
        <w:rPr>
          <w:sz w:val="21"/>
          <w:szCs w:val="21"/>
        </w:rPr>
      </w:pPr>
      <w:r>
        <w:rPr>
          <w:rFonts w:ascii="宋体" w:hAnsi="宋体" w:eastAsia="宋体" w:cs="宋体"/>
          <w:sz w:val="21"/>
          <w:szCs w:val="21"/>
        </w:rPr>
        <w:t>①扩大职权范围</w:t>
      </w:r>
      <w:r>
        <w:rPr>
          <w:sz w:val="21"/>
          <w:szCs w:val="21"/>
        </w:rPr>
        <w:t xml:space="preserve">      </w:t>
      </w:r>
      <w:r>
        <w:rPr>
          <w:rFonts w:ascii="宋体" w:hAnsi="宋体" w:eastAsia="宋体" w:cs="宋体"/>
          <w:sz w:val="21"/>
          <w:szCs w:val="21"/>
        </w:rPr>
        <w:t>②加大监察力度</w:t>
      </w:r>
      <w:r>
        <w:rPr>
          <w:sz w:val="21"/>
          <w:szCs w:val="21"/>
        </w:rPr>
        <w:t xml:space="preserve">      </w:t>
      </w:r>
      <w:r>
        <w:rPr>
          <w:rFonts w:ascii="宋体" w:hAnsi="宋体" w:eastAsia="宋体" w:cs="宋体"/>
          <w:sz w:val="21"/>
          <w:szCs w:val="21"/>
        </w:rPr>
        <w:t>③接受社会监督</w:t>
      </w:r>
      <w:r>
        <w:rPr>
          <w:sz w:val="21"/>
          <w:szCs w:val="21"/>
        </w:rPr>
        <w:t xml:space="preserve">      </w:t>
      </w:r>
      <w:r>
        <w:rPr>
          <w:rFonts w:ascii="宋体" w:hAnsi="宋体" w:eastAsia="宋体" w:cs="宋体"/>
          <w:sz w:val="21"/>
          <w:szCs w:val="21"/>
        </w:rPr>
        <w:t>④规范执法行为</w:t>
      </w:r>
    </w:p>
    <w:p w14:paraId="1C709229">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①②</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①③</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②④</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③④</w:t>
      </w:r>
    </w:p>
    <w:p w14:paraId="1011303B">
      <w:pPr>
        <w:widowControl w:val="0"/>
        <w:spacing w:before="0" w:after="0" w:line="360" w:lineRule="auto"/>
        <w:rPr>
          <w:sz w:val="21"/>
          <w:szCs w:val="21"/>
        </w:rPr>
      </w:pPr>
      <w:r>
        <w:rPr>
          <w:sz w:val="21"/>
          <w:szCs w:val="21"/>
        </w:rPr>
        <w:t xml:space="preserve">8. </w:t>
      </w:r>
      <w:r>
        <w:rPr>
          <w:rFonts w:ascii="宋体" w:hAnsi="宋体" w:eastAsia="宋体" w:cs="宋体"/>
          <w:sz w:val="21"/>
          <w:szCs w:val="21"/>
        </w:rPr>
        <w:t>某村着力增加绿化面积，提升乡村“颜值”，带动了乡村旅游；同时，推广应用光伏发电，给村民带来了收益。该村的成功主要得益于（</w:t>
      </w:r>
      <w:r>
        <w:rPr>
          <w:sz w:val="21"/>
          <w:szCs w:val="21"/>
        </w:rPr>
        <w:t xml:space="preserve">    </w:t>
      </w:r>
      <w:r>
        <w:rPr>
          <w:rFonts w:ascii="宋体" w:hAnsi="宋体" w:eastAsia="宋体" w:cs="宋体"/>
          <w:sz w:val="21"/>
          <w:szCs w:val="21"/>
        </w:rPr>
        <w:t>）</w:t>
      </w:r>
    </w:p>
    <w:p w14:paraId="54A1AE20">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开发土地资源</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加快城乡融合</w:t>
      </w:r>
    </w:p>
    <w:p w14:paraId="0C9D17B0">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坚持绿色兴农</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恢复自然环境</w:t>
      </w:r>
    </w:p>
    <w:p w14:paraId="209786EA">
      <w:pPr>
        <w:widowControl w:val="0"/>
        <w:spacing w:before="0" w:after="0" w:line="360" w:lineRule="auto"/>
        <w:rPr>
          <w:sz w:val="21"/>
          <w:szCs w:val="21"/>
        </w:rPr>
      </w:pPr>
      <w:r>
        <w:rPr>
          <w:sz w:val="21"/>
          <w:szCs w:val="21"/>
        </w:rPr>
        <w:t xml:space="preserve">9. </w:t>
      </w:r>
      <w:r>
        <w:rPr>
          <w:rFonts w:ascii="宋体" w:hAnsi="宋体" w:eastAsia="宋体" w:cs="宋体"/>
          <w:sz w:val="21"/>
          <w:szCs w:val="21"/>
        </w:rPr>
        <w:t>凭借亲切的形象和丰富的内涵，十二生肖备受全世界人民青睐。如今，每年全球</w:t>
      </w:r>
      <w:r>
        <w:rPr>
          <w:sz w:val="21"/>
          <w:szCs w:val="21"/>
        </w:rPr>
        <w:t>100</w:t>
      </w:r>
      <w:r>
        <w:rPr>
          <w:rFonts w:ascii="宋体" w:hAnsi="宋体" w:eastAsia="宋体" w:cs="宋体"/>
          <w:sz w:val="21"/>
          <w:szCs w:val="21"/>
        </w:rPr>
        <w:t>多个国家和地区发行生肖邮票。生肖作为中国特有的文化符号，得到多元化的呈现，衍生出无数中外合璧的艺术佳品。对此</w:t>
      </w:r>
      <w:r>
        <w:rPr>
          <w:strike w:val="0"/>
          <w:sz w:val="21"/>
          <w:szCs w:val="21"/>
          <w:u w:val="none"/>
        </w:rPr>
        <w:drawing>
          <wp:inline distT="0" distB="0" distL="114300" distR="114300">
            <wp:extent cx="28575" cy="28575"/>
            <wp:effectExtent l="0" t="0" r="0" b="0"/>
            <wp:docPr id="100031" name="图片 100031" descr="page numbe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page number 1"/>
                    <pic:cNvPicPr>
                      <a:picLocks noChangeAspect="1"/>
                    </pic:cNvPicPr>
                  </pic:nvPicPr>
                  <pic:blipFill>
                    <a:blip r:embed="rId16"/>
                    <a:stretch>
                      <a:fillRect/>
                    </a:stretch>
                  </pic:blipFill>
                  <pic:spPr>
                    <a:xfrm>
                      <a:off x="0" y="0"/>
                      <a:ext cx="28575" cy="28575"/>
                    </a:xfrm>
                    <a:prstGeom prst="rect">
                      <a:avLst/>
                    </a:prstGeom>
                  </pic:spPr>
                </pic:pic>
              </a:graphicData>
            </a:graphic>
          </wp:inline>
        </w:drawing>
      </w:r>
    </w:p>
    <w:p w14:paraId="4092563E">
      <w:pPr>
        <w:sectPr>
          <w:headerReference r:id="rId9" w:type="default"/>
          <w:type w:val="continuous"/>
          <w:pgSz w:w="11927" w:h="16875"/>
          <w:pgMar w:top="800" w:right="1120" w:bottom="540" w:left="1120" w:header="708" w:footer="708" w:gutter="0"/>
          <w:cols w:space="708" w:num="1"/>
          <w:docGrid w:linePitch="360" w:charSpace="0"/>
        </w:sectPr>
      </w:pPr>
    </w:p>
    <w:p w14:paraId="21F912DF">
      <w:pPr>
        <w:widowControl w:val="0"/>
        <w:spacing w:before="0" w:after="0" w:line="360" w:lineRule="auto"/>
        <w:rPr>
          <w:sz w:val="21"/>
          <w:szCs w:val="21"/>
        </w:rPr>
      </w:pPr>
      <w:r>
        <w:rPr>
          <w:rFonts w:ascii="宋体" w:hAnsi="宋体" w:eastAsia="宋体" w:cs="宋体"/>
          <w:sz w:val="21"/>
          <w:szCs w:val="21"/>
        </w:rPr>
        <w:t>解读正确的是（</w:t>
      </w:r>
      <w:r>
        <w:rPr>
          <w:sz w:val="21"/>
          <w:szCs w:val="21"/>
        </w:rPr>
        <w:t xml:space="preserve">    </w:t>
      </w:r>
      <w:r>
        <w:rPr>
          <w:rFonts w:ascii="宋体" w:hAnsi="宋体" w:eastAsia="宋体" w:cs="宋体"/>
          <w:sz w:val="21"/>
          <w:szCs w:val="21"/>
        </w:rPr>
        <w:t>）</w:t>
      </w:r>
    </w:p>
    <w:p w14:paraId="16927273">
      <w:pPr>
        <w:widowControl w:val="0"/>
        <w:spacing w:before="0" w:after="0" w:line="360" w:lineRule="auto"/>
        <w:rPr>
          <w:sz w:val="21"/>
          <w:szCs w:val="21"/>
        </w:rPr>
      </w:pPr>
      <w:r>
        <w:rPr>
          <w:rFonts w:ascii="宋体" w:hAnsi="宋体" w:eastAsia="宋体" w:cs="宋体"/>
          <w:sz w:val="21"/>
          <w:szCs w:val="21"/>
        </w:rPr>
        <w:t>①生肖呈吉祥，改革促富强</w:t>
      </w:r>
      <w:r>
        <w:rPr>
          <w:sz w:val="21"/>
          <w:szCs w:val="21"/>
        </w:rPr>
        <w:t xml:space="preserve">      </w:t>
      </w:r>
      <w:r>
        <w:rPr>
          <w:rFonts w:ascii="宋体" w:hAnsi="宋体" w:eastAsia="宋体" w:cs="宋体"/>
          <w:sz w:val="21"/>
          <w:szCs w:val="21"/>
        </w:rPr>
        <w:t>②生肖显魅力，文化传四方</w:t>
      </w:r>
    </w:p>
    <w:p w14:paraId="42181493">
      <w:pPr>
        <w:widowControl w:val="0"/>
        <w:spacing w:before="0" w:after="0" w:line="360" w:lineRule="auto"/>
        <w:rPr>
          <w:sz w:val="21"/>
          <w:szCs w:val="21"/>
        </w:rPr>
      </w:pPr>
      <w:r>
        <w:rPr>
          <w:rFonts w:ascii="宋体" w:hAnsi="宋体" w:eastAsia="宋体" w:cs="宋体"/>
          <w:sz w:val="21"/>
          <w:szCs w:val="21"/>
        </w:rPr>
        <w:t>③文明有不同，交流互鉴美</w:t>
      </w:r>
      <w:r>
        <w:rPr>
          <w:sz w:val="21"/>
          <w:szCs w:val="21"/>
        </w:rPr>
        <w:t xml:space="preserve">      </w:t>
      </w:r>
      <w:r>
        <w:rPr>
          <w:rFonts w:ascii="宋体" w:hAnsi="宋体" w:eastAsia="宋体" w:cs="宋体"/>
          <w:sz w:val="21"/>
          <w:szCs w:val="21"/>
        </w:rPr>
        <w:t>④经济全球化，携手促发展</w:t>
      </w:r>
    </w:p>
    <w:p w14:paraId="45B6A808">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①②</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②③</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③④</w:t>
      </w:r>
    </w:p>
    <w:p w14:paraId="4485BFF3">
      <w:pPr>
        <w:widowControl w:val="0"/>
        <w:spacing w:before="0" w:after="0" w:line="360" w:lineRule="auto"/>
        <w:rPr>
          <w:sz w:val="21"/>
          <w:szCs w:val="21"/>
        </w:rPr>
      </w:pPr>
      <w:r>
        <w:rPr>
          <w:sz w:val="21"/>
          <w:szCs w:val="21"/>
        </w:rPr>
        <w:t xml:space="preserve">10. </w:t>
      </w:r>
      <w:r>
        <w:rPr>
          <w:rFonts w:ascii="宋体" w:hAnsi="宋体" w:eastAsia="宋体" w:cs="宋体"/>
          <w:sz w:val="21"/>
          <w:szCs w:val="21"/>
        </w:rPr>
        <w:t>下面四幅图共同说明（</w:t>
      </w:r>
      <w:r>
        <w:rPr>
          <w:sz w:val="21"/>
          <w:szCs w:val="21"/>
        </w:rPr>
        <w:t xml:space="preserve">    </w:t>
      </w:r>
      <w:r>
        <w:rPr>
          <w:rFonts w:ascii="宋体" w:hAnsi="宋体" w:eastAsia="宋体" w:cs="宋体"/>
          <w:sz w:val="21"/>
          <w:szCs w:val="21"/>
        </w:rPr>
        <w:t>）</w:t>
      </w:r>
    </w:p>
    <w:tbl>
      <w:tblPr>
        <w:tblStyle w:val="4"/>
        <w:tblW w:w="8280"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2094"/>
        <w:gridCol w:w="1899"/>
        <w:gridCol w:w="2066"/>
        <w:gridCol w:w="2221"/>
      </w:tblGrid>
      <w:tr w14:paraId="73B30C8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Borders>
              <w:bottom w:val="single" w:color="000000" w:sz="6" w:space="0"/>
              <w:right w:val="single" w:color="000000" w:sz="6" w:space="0"/>
            </w:tcBorders>
            <w:noWrap w:val="0"/>
            <w:tcMar>
              <w:top w:w="76" w:type="dxa"/>
              <w:left w:w="120" w:type="dxa"/>
              <w:bottom w:w="76" w:type="dxa"/>
              <w:right w:w="120" w:type="dxa"/>
            </w:tcMar>
            <w:vAlign w:val="center"/>
          </w:tcPr>
          <w:p w14:paraId="0E02A4B6">
            <w:pPr>
              <w:widowControl w:val="0"/>
              <w:spacing w:before="0" w:after="0" w:line="360" w:lineRule="auto"/>
              <w:rPr>
                <w:b w:val="0"/>
                <w:bCs w:val="0"/>
                <w:i w:val="0"/>
                <w:iCs w:val="0"/>
                <w:smallCaps w:val="0"/>
                <w:color w:val="000000"/>
                <w:sz w:val="21"/>
                <w:szCs w:val="21"/>
              </w:rPr>
            </w:pPr>
            <w:r>
              <w:rPr>
                <w:b w:val="0"/>
                <w:bCs w:val="0"/>
                <w:i w:val="0"/>
                <w:iCs w:val="0"/>
                <w:smallCaps w:val="0"/>
                <w:strike w:val="0"/>
                <w:color w:val="000000"/>
                <w:sz w:val="21"/>
                <w:szCs w:val="21"/>
                <w:u w:val="none"/>
              </w:rPr>
              <w:drawing>
                <wp:inline distT="0" distB="0" distL="114300" distR="114300">
                  <wp:extent cx="1095375" cy="723900"/>
                  <wp:effectExtent l="0" t="0" r="9525" b="0"/>
                  <wp:docPr id="100045" name="图片 1000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095375" cy="723900"/>
                          </a:xfrm>
                          <a:prstGeom prst="rect">
                            <a:avLst/>
                          </a:prstGeom>
                        </pic:spPr>
                      </pic:pic>
                    </a:graphicData>
                  </a:graphic>
                </wp:inline>
              </w:drawing>
            </w:r>
          </w:p>
        </w:tc>
        <w:tc>
          <w:tcPr>
            <w:tcBorders>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1164533C">
            <w:pPr>
              <w:widowControl w:val="0"/>
              <w:spacing w:before="0" w:after="0" w:line="360" w:lineRule="auto"/>
              <w:rPr>
                <w:b w:val="0"/>
                <w:bCs w:val="0"/>
                <w:i w:val="0"/>
                <w:iCs w:val="0"/>
                <w:smallCaps w:val="0"/>
                <w:color w:val="000000"/>
                <w:sz w:val="21"/>
                <w:szCs w:val="21"/>
              </w:rPr>
            </w:pPr>
            <w:r>
              <w:rPr>
                <w:b w:val="0"/>
                <w:bCs w:val="0"/>
                <w:i w:val="0"/>
                <w:iCs w:val="0"/>
                <w:smallCaps w:val="0"/>
                <w:strike w:val="0"/>
                <w:color w:val="000000"/>
                <w:sz w:val="21"/>
                <w:szCs w:val="21"/>
                <w:u w:val="none"/>
              </w:rPr>
              <w:drawing>
                <wp:inline distT="0" distB="0" distL="114300" distR="114300">
                  <wp:extent cx="981075" cy="657225"/>
                  <wp:effectExtent l="0" t="0" r="9525" b="9525"/>
                  <wp:docPr id="100047" name="图片 1000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981075" cy="657225"/>
                          </a:xfrm>
                          <a:prstGeom prst="rect">
                            <a:avLst/>
                          </a:prstGeom>
                        </pic:spPr>
                      </pic:pic>
                    </a:graphicData>
                  </a:graphic>
                </wp:inline>
              </w:drawing>
            </w:r>
          </w:p>
        </w:tc>
        <w:tc>
          <w:tcPr>
            <w:tcBorders>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34513FEC">
            <w:pPr>
              <w:widowControl w:val="0"/>
              <w:spacing w:before="0" w:after="0" w:line="360" w:lineRule="auto"/>
              <w:rPr>
                <w:b w:val="0"/>
                <w:bCs w:val="0"/>
                <w:i w:val="0"/>
                <w:iCs w:val="0"/>
                <w:smallCaps w:val="0"/>
                <w:color w:val="000000"/>
                <w:sz w:val="21"/>
                <w:szCs w:val="21"/>
              </w:rPr>
            </w:pPr>
            <w:r>
              <w:rPr>
                <w:b w:val="0"/>
                <w:bCs w:val="0"/>
                <w:i w:val="0"/>
                <w:iCs w:val="0"/>
                <w:smallCaps w:val="0"/>
                <w:strike w:val="0"/>
                <w:color w:val="000000"/>
                <w:sz w:val="21"/>
                <w:szCs w:val="21"/>
                <w:u w:val="none"/>
              </w:rPr>
              <w:drawing>
                <wp:inline distT="0" distB="0" distL="114300" distR="114300">
                  <wp:extent cx="1085850" cy="752475"/>
                  <wp:effectExtent l="0" t="0" r="0" b="9525"/>
                  <wp:docPr id="100049" name="图片 1000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085850" cy="752475"/>
                          </a:xfrm>
                          <a:prstGeom prst="rect">
                            <a:avLst/>
                          </a:prstGeom>
                        </pic:spPr>
                      </pic:pic>
                    </a:graphicData>
                  </a:graphic>
                </wp:inline>
              </w:drawing>
            </w:r>
          </w:p>
        </w:tc>
        <w:tc>
          <w:tcPr>
            <w:tcBorders>
              <w:left w:val="single" w:color="000000" w:sz="6" w:space="0"/>
              <w:bottom w:val="single" w:color="000000" w:sz="6" w:space="0"/>
            </w:tcBorders>
            <w:noWrap w:val="0"/>
            <w:tcMar>
              <w:top w:w="76" w:type="dxa"/>
              <w:left w:w="120" w:type="dxa"/>
              <w:bottom w:w="76" w:type="dxa"/>
              <w:right w:w="120" w:type="dxa"/>
            </w:tcMar>
            <w:vAlign w:val="center"/>
          </w:tcPr>
          <w:p w14:paraId="0ACFE4D2">
            <w:pPr>
              <w:widowControl w:val="0"/>
              <w:spacing w:before="0" w:after="0" w:line="360" w:lineRule="auto"/>
              <w:rPr>
                <w:b w:val="0"/>
                <w:bCs w:val="0"/>
                <w:i w:val="0"/>
                <w:iCs w:val="0"/>
                <w:smallCaps w:val="0"/>
                <w:color w:val="000000"/>
                <w:sz w:val="21"/>
                <w:szCs w:val="21"/>
              </w:rPr>
            </w:pPr>
            <w:r>
              <w:rPr>
                <w:b w:val="0"/>
                <w:bCs w:val="0"/>
                <w:i w:val="0"/>
                <w:iCs w:val="0"/>
                <w:smallCaps w:val="0"/>
                <w:strike w:val="0"/>
                <w:color w:val="000000"/>
                <w:sz w:val="21"/>
                <w:szCs w:val="21"/>
                <w:u w:val="none"/>
              </w:rPr>
              <w:drawing>
                <wp:inline distT="0" distB="0" distL="114300" distR="114300">
                  <wp:extent cx="1171575" cy="771525"/>
                  <wp:effectExtent l="0" t="0" r="9525" b="9525"/>
                  <wp:docPr id="100051" name="图片 10005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171575" cy="771525"/>
                          </a:xfrm>
                          <a:prstGeom prst="rect">
                            <a:avLst/>
                          </a:prstGeom>
                        </pic:spPr>
                      </pic:pic>
                    </a:graphicData>
                  </a:graphic>
                </wp:inline>
              </w:drawing>
            </w:r>
          </w:p>
        </w:tc>
      </w:tr>
      <w:tr w14:paraId="0FD75E1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Borders>
              <w:top w:val="single" w:color="000000" w:sz="6" w:space="0"/>
              <w:right w:val="single" w:color="000000" w:sz="6" w:space="0"/>
            </w:tcBorders>
            <w:noWrap w:val="0"/>
            <w:tcMar>
              <w:top w:w="76" w:type="dxa"/>
              <w:left w:w="120" w:type="dxa"/>
              <w:bottom w:w="76" w:type="dxa"/>
              <w:right w:w="120" w:type="dxa"/>
            </w:tcMar>
            <w:vAlign w:val="center"/>
          </w:tcPr>
          <w:p w14:paraId="0D86F69D">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中国生产的纯电动大巴行驶在哥本哈根</w:t>
            </w:r>
          </w:p>
        </w:tc>
        <w:tc>
          <w:tcPr>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1599479A">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中国企业在巴西生产锂电池的车间</w:t>
            </w:r>
          </w:p>
        </w:tc>
        <w:tc>
          <w:tcPr>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2A2EC8D3">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中国企业在匈牙利投资建设的光伏电站</w:t>
            </w:r>
          </w:p>
        </w:tc>
        <w:tc>
          <w:tcPr>
            <w:tcBorders>
              <w:top w:val="single" w:color="000000" w:sz="6" w:space="0"/>
              <w:left w:val="single" w:color="000000" w:sz="6" w:space="0"/>
            </w:tcBorders>
            <w:noWrap w:val="0"/>
            <w:tcMar>
              <w:top w:w="76" w:type="dxa"/>
              <w:left w:w="120" w:type="dxa"/>
              <w:bottom w:w="76" w:type="dxa"/>
              <w:right w:w="120" w:type="dxa"/>
            </w:tcMar>
            <w:vAlign w:val="center"/>
          </w:tcPr>
          <w:p w14:paraId="0C51F31B">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中国企业在刚果（金）投资建设的水电站</w:t>
            </w:r>
          </w:p>
        </w:tc>
      </w:tr>
    </w:tbl>
    <w:p w14:paraId="01617D06">
      <w:pPr>
        <w:widowControl w:val="0"/>
        <w:spacing w:before="0" w:after="0" w:line="360" w:lineRule="auto"/>
        <w:rPr>
          <w:sz w:val="21"/>
          <w:szCs w:val="21"/>
        </w:rPr>
      </w:pPr>
      <w:r>
        <w:rPr>
          <w:rFonts w:ascii="宋体" w:hAnsi="宋体" w:eastAsia="宋体" w:cs="宋体"/>
          <w:sz w:val="21"/>
          <w:szCs w:val="21"/>
        </w:rPr>
        <w:t>①中国坚持对外开放的基本国策</w:t>
      </w:r>
      <w:r>
        <w:rPr>
          <w:sz w:val="21"/>
          <w:szCs w:val="21"/>
        </w:rPr>
        <w:t xml:space="preserve">      </w:t>
      </w:r>
    </w:p>
    <w:p w14:paraId="0E0CD211">
      <w:pPr>
        <w:widowControl w:val="0"/>
        <w:spacing w:before="0" w:after="0" w:line="360" w:lineRule="auto"/>
        <w:rPr>
          <w:sz w:val="21"/>
          <w:szCs w:val="21"/>
        </w:rPr>
      </w:pPr>
      <w:r>
        <w:rPr>
          <w:rFonts w:ascii="宋体" w:hAnsi="宋体" w:eastAsia="宋体" w:cs="宋体"/>
          <w:sz w:val="21"/>
          <w:szCs w:val="21"/>
        </w:rPr>
        <w:t>②中国为建设清洁美丽世界作出贡献</w:t>
      </w:r>
    </w:p>
    <w:p w14:paraId="79639322">
      <w:pPr>
        <w:widowControl w:val="0"/>
        <w:spacing w:before="0" w:after="0" w:line="360" w:lineRule="auto"/>
        <w:rPr>
          <w:sz w:val="21"/>
          <w:szCs w:val="21"/>
        </w:rPr>
      </w:pPr>
      <w:r>
        <w:rPr>
          <w:rFonts w:ascii="宋体" w:hAnsi="宋体" w:eastAsia="宋体" w:cs="宋体"/>
          <w:sz w:val="21"/>
          <w:szCs w:val="21"/>
        </w:rPr>
        <w:t>③中国积极谋求经济的高速发展</w:t>
      </w:r>
      <w:r>
        <w:rPr>
          <w:sz w:val="21"/>
          <w:szCs w:val="21"/>
        </w:rPr>
        <w:t xml:space="preserve">      </w:t>
      </w:r>
    </w:p>
    <w:p w14:paraId="2BAB7B90">
      <w:pPr>
        <w:widowControl w:val="0"/>
        <w:spacing w:before="0" w:after="0" w:line="360" w:lineRule="auto"/>
        <w:rPr>
          <w:sz w:val="21"/>
          <w:szCs w:val="21"/>
        </w:rPr>
      </w:pPr>
      <w:r>
        <w:rPr>
          <w:rFonts w:ascii="宋体" w:hAnsi="宋体" w:eastAsia="宋体" w:cs="宋体"/>
          <w:sz w:val="21"/>
          <w:szCs w:val="21"/>
        </w:rPr>
        <w:t>④中国积极引进外国资金和先进技术</w:t>
      </w:r>
    </w:p>
    <w:p w14:paraId="4DD216DE">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①②</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②③</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③④</w:t>
      </w:r>
    </w:p>
    <w:p w14:paraId="1C41E12F">
      <w:pPr>
        <w:widowControl w:val="0"/>
        <w:spacing w:before="0" w:after="0" w:line="360" w:lineRule="auto"/>
        <w:ind w:firstLine="420"/>
        <w:rPr>
          <w:sz w:val="21"/>
          <w:szCs w:val="21"/>
        </w:rPr>
      </w:pPr>
      <w:r>
        <w:rPr>
          <w:rFonts w:ascii="楷体" w:hAnsi="楷体" w:eastAsia="楷体" w:cs="楷体"/>
          <w:sz w:val="21"/>
          <w:szCs w:val="21"/>
        </w:rPr>
        <w:t>我国是统一的多民族国家，中华民族是我国各民族组成的大家庭，是荣辱与共的命运共同体。完成下面小题。</w:t>
      </w:r>
    </w:p>
    <w:p w14:paraId="33820AEA">
      <w:pPr>
        <w:widowControl w:val="0"/>
        <w:spacing w:before="0" w:after="0" w:line="360" w:lineRule="auto"/>
        <w:rPr>
          <w:sz w:val="21"/>
          <w:szCs w:val="21"/>
        </w:rPr>
      </w:pPr>
      <w:r>
        <w:rPr>
          <w:sz w:val="21"/>
          <w:szCs w:val="21"/>
        </w:rPr>
        <w:t xml:space="preserve">11. </w:t>
      </w:r>
      <w:r>
        <w:rPr>
          <w:rFonts w:ascii="宋体" w:hAnsi="宋体" w:eastAsia="宋体" w:cs="宋体"/>
          <w:sz w:val="21"/>
          <w:szCs w:val="21"/>
        </w:rPr>
        <w:t>抗日战争时期，我国各族人民浴血奋战，共御外辱。在东北，汉、满、朝鲜等各族同胞组织起东北抗日联军；在西南，侗族等少数民族组成抗日军；在海南岛，黎族、苗族和汉族同胞建立了海南琼崖抗日纵队……各族人民团结一致，最终打败了日本侵略者。这充分说明，我国各族人民（</w:t>
      </w:r>
      <w:r>
        <w:rPr>
          <w:sz w:val="21"/>
          <w:szCs w:val="21"/>
        </w:rPr>
        <w:t xml:space="preserve">    </w:t>
      </w:r>
      <w:r>
        <w:rPr>
          <w:rFonts w:ascii="宋体" w:hAnsi="宋体" w:eastAsia="宋体" w:cs="宋体"/>
          <w:sz w:val="21"/>
          <w:szCs w:val="21"/>
        </w:rPr>
        <w:t>）</w:t>
      </w:r>
    </w:p>
    <w:p w14:paraId="77A24ABB">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共同开拓祖国疆域</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共同保卫伟大祖国</w:t>
      </w:r>
    </w:p>
    <w:p w14:paraId="694F3879">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共同建设伟大祖国</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共同繁荣民族经济</w:t>
      </w:r>
    </w:p>
    <w:p w14:paraId="4B03ED43">
      <w:pPr>
        <w:widowControl w:val="0"/>
        <w:spacing w:before="0" w:after="0" w:line="360" w:lineRule="auto"/>
        <w:rPr>
          <w:sz w:val="21"/>
          <w:szCs w:val="21"/>
        </w:rPr>
      </w:pPr>
      <w:r>
        <w:rPr>
          <w:sz w:val="21"/>
          <w:szCs w:val="21"/>
        </w:rPr>
        <w:t xml:space="preserve">12. </w:t>
      </w:r>
      <w:r>
        <w:rPr>
          <w:rFonts w:ascii="宋体" w:hAnsi="宋体" w:eastAsia="宋体" w:cs="宋体"/>
          <w:sz w:val="21"/>
          <w:szCs w:val="21"/>
        </w:rPr>
        <w:t>在“铸牢中华民族共同体意识文物古籍展”上，</w:t>
      </w:r>
      <w:r>
        <w:rPr>
          <w:sz w:val="21"/>
          <w:szCs w:val="21"/>
        </w:rPr>
        <w:t>1500</w:t>
      </w:r>
      <w:r>
        <w:rPr>
          <w:rFonts w:ascii="宋体" w:hAnsi="宋体" w:eastAsia="宋体" w:cs="宋体"/>
          <w:sz w:val="21"/>
          <w:szCs w:val="21"/>
        </w:rPr>
        <w:t>余件文物古籍，展开一幅各民族不断交往交流交融的历史长卷。来自全国各地的参观者络绎不绝。“中华民族一家亲”“像石榴籽一样紧紧抱在一起”“心手相牵、团结奋进”……留言簿上的这些感言让我们体会到，举办此展有利于（</w:t>
      </w:r>
      <w:r>
        <w:rPr>
          <w:sz w:val="21"/>
          <w:szCs w:val="21"/>
        </w:rPr>
        <w:t xml:space="preserve">    </w:t>
      </w:r>
      <w:r>
        <w:rPr>
          <w:rFonts w:ascii="宋体" w:hAnsi="宋体" w:eastAsia="宋体" w:cs="宋体"/>
          <w:sz w:val="21"/>
          <w:szCs w:val="21"/>
        </w:rPr>
        <w:t>）</w:t>
      </w:r>
    </w:p>
    <w:p w14:paraId="672F5405">
      <w:pPr>
        <w:widowControl w:val="0"/>
        <w:spacing w:before="0" w:after="0" w:line="360" w:lineRule="auto"/>
        <w:rPr>
          <w:sz w:val="21"/>
          <w:szCs w:val="21"/>
        </w:rPr>
      </w:pPr>
      <w:r>
        <w:rPr>
          <w:rFonts w:ascii="宋体" w:hAnsi="宋体" w:eastAsia="宋体" w:cs="宋体"/>
          <w:sz w:val="21"/>
          <w:szCs w:val="21"/>
        </w:rPr>
        <w:t>①促进我国各民族实现同步富裕</w:t>
      </w:r>
      <w:r>
        <w:rPr>
          <w:sz w:val="21"/>
          <w:szCs w:val="21"/>
        </w:rPr>
        <w:t xml:space="preserve">      </w:t>
      </w:r>
    </w:p>
    <w:p w14:paraId="2086733F">
      <w:pPr>
        <w:widowControl w:val="0"/>
        <w:spacing w:before="0" w:after="0" w:line="360" w:lineRule="auto"/>
        <w:rPr>
          <w:sz w:val="21"/>
          <w:szCs w:val="21"/>
        </w:rPr>
      </w:pPr>
      <w:r>
        <w:rPr>
          <w:rFonts w:ascii="宋体" w:hAnsi="宋体" w:eastAsia="宋体" w:cs="宋体"/>
          <w:sz w:val="21"/>
          <w:szCs w:val="21"/>
        </w:rPr>
        <w:t>②确保民族自治地方享有自治权</w:t>
      </w:r>
    </w:p>
    <w:p w14:paraId="740A2024">
      <w:pPr>
        <w:widowControl w:val="0"/>
        <w:spacing w:before="0" w:after="0" w:line="360" w:lineRule="auto"/>
        <w:rPr>
          <w:sz w:val="21"/>
          <w:szCs w:val="21"/>
        </w:rPr>
      </w:pPr>
      <w:r>
        <w:rPr>
          <w:rFonts w:ascii="宋体" w:hAnsi="宋体" w:eastAsia="宋体" w:cs="宋体"/>
          <w:sz w:val="21"/>
          <w:szCs w:val="21"/>
        </w:rPr>
        <w:t>③增强中华民族凝聚力和向心力</w:t>
      </w:r>
      <w:r>
        <w:rPr>
          <w:sz w:val="21"/>
          <w:szCs w:val="21"/>
        </w:rPr>
        <w:t xml:space="preserve">      </w:t>
      </w:r>
    </w:p>
    <w:p w14:paraId="4F586329">
      <w:pPr>
        <w:widowControl w:val="0"/>
        <w:spacing w:before="0" w:after="0" w:line="360" w:lineRule="auto"/>
        <w:rPr>
          <w:sz w:val="21"/>
          <w:szCs w:val="21"/>
        </w:rPr>
      </w:pPr>
      <w:r>
        <w:rPr>
          <w:rFonts w:ascii="宋体" w:hAnsi="宋体" w:eastAsia="宋体" w:cs="宋体"/>
          <w:sz w:val="21"/>
          <w:szCs w:val="21"/>
        </w:rPr>
        <w:t>④构筑中华民族共有的精神家园</w:t>
      </w:r>
    </w:p>
    <w:p w14:paraId="5CB85DB8">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①②</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①③</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②④</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③④</w:t>
      </w:r>
      <w:r>
        <w:rPr>
          <w:strike w:val="0"/>
          <w:sz w:val="21"/>
          <w:szCs w:val="21"/>
          <w:u w:val="none"/>
        </w:rPr>
        <w:drawing>
          <wp:inline distT="0" distB="0" distL="114300" distR="114300">
            <wp:extent cx="28575" cy="28575"/>
            <wp:effectExtent l="0" t="0" r="0" b="0"/>
            <wp:docPr id="100053" name="图片 100053" descr="page number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descr="page number 2"/>
                    <pic:cNvPicPr>
                      <a:picLocks noChangeAspect="1"/>
                    </pic:cNvPicPr>
                  </pic:nvPicPr>
                  <pic:blipFill>
                    <a:blip r:embed="rId16"/>
                    <a:stretch>
                      <a:fillRect/>
                    </a:stretch>
                  </pic:blipFill>
                  <pic:spPr>
                    <a:xfrm>
                      <a:off x="0" y="0"/>
                      <a:ext cx="28575" cy="28575"/>
                    </a:xfrm>
                    <a:prstGeom prst="rect">
                      <a:avLst/>
                    </a:prstGeom>
                  </pic:spPr>
                </pic:pic>
              </a:graphicData>
            </a:graphic>
          </wp:inline>
        </w:drawing>
      </w:r>
    </w:p>
    <w:p w14:paraId="7EDA6F65">
      <w:pPr>
        <w:sectPr>
          <w:headerReference r:id="rId10" w:type="default"/>
          <w:type w:val="continuous"/>
          <w:pgSz w:w="11927" w:h="16875"/>
          <w:pgMar w:top="800" w:right="1120" w:bottom="540" w:left="1120" w:header="708" w:footer="708" w:gutter="0"/>
          <w:cols w:space="708" w:num="1"/>
          <w:docGrid w:linePitch="360" w:charSpace="0"/>
        </w:sectPr>
      </w:pPr>
    </w:p>
    <w:p w14:paraId="20869A93">
      <w:pPr>
        <w:widowControl w:val="0"/>
        <w:spacing w:before="0" w:after="0" w:line="286" w:lineRule="auto"/>
      </w:pPr>
      <w:r>
        <w:rPr>
          <w:rFonts w:ascii="宋体" w:hAnsi="宋体" w:eastAsia="宋体" w:cs="宋体"/>
          <w:b/>
          <w:bCs/>
        </w:rPr>
        <w:t>二、非选择题（本大题共</w:t>
      </w:r>
      <w:r>
        <w:rPr>
          <w:b/>
          <w:bCs/>
        </w:rPr>
        <w:t>5</w:t>
      </w:r>
      <w:r>
        <w:rPr>
          <w:rFonts w:ascii="宋体" w:hAnsi="宋体" w:eastAsia="宋体" w:cs="宋体"/>
          <w:b/>
          <w:bCs/>
        </w:rPr>
        <w:t>个小题，</w:t>
      </w:r>
      <w:r>
        <w:rPr>
          <w:b/>
          <w:bCs/>
        </w:rPr>
        <w:t>24</w:t>
      </w:r>
      <w:r>
        <w:rPr>
          <w:rFonts w:ascii="宋体" w:hAnsi="宋体" w:eastAsia="宋体" w:cs="宋体"/>
          <w:b/>
          <w:bCs/>
        </w:rPr>
        <w:t>题</w:t>
      </w:r>
      <w:r>
        <w:rPr>
          <w:b/>
          <w:bCs/>
        </w:rPr>
        <w:t>8</w:t>
      </w:r>
      <w:r>
        <w:rPr>
          <w:rFonts w:ascii="宋体" w:hAnsi="宋体" w:eastAsia="宋体" w:cs="宋体"/>
          <w:b/>
          <w:bCs/>
        </w:rPr>
        <w:t>分，</w:t>
      </w:r>
      <w:r>
        <w:rPr>
          <w:b/>
          <w:bCs/>
        </w:rPr>
        <w:t>25</w:t>
      </w:r>
      <w:r>
        <w:rPr>
          <w:rFonts w:ascii="宋体" w:hAnsi="宋体" w:eastAsia="宋体" w:cs="宋体"/>
          <w:b/>
          <w:bCs/>
        </w:rPr>
        <w:t>题</w:t>
      </w:r>
      <w:r>
        <w:rPr>
          <w:b/>
          <w:bCs/>
        </w:rPr>
        <w:t>11</w:t>
      </w:r>
      <w:r>
        <w:rPr>
          <w:rFonts w:ascii="宋体" w:hAnsi="宋体" w:eastAsia="宋体" w:cs="宋体"/>
          <w:b/>
          <w:bCs/>
        </w:rPr>
        <w:t>分，</w:t>
      </w:r>
      <w:r>
        <w:rPr>
          <w:b/>
          <w:bCs/>
        </w:rPr>
        <w:t>26</w:t>
      </w:r>
      <w:r>
        <w:rPr>
          <w:rFonts w:ascii="宋体" w:hAnsi="宋体" w:eastAsia="宋体" w:cs="宋体"/>
          <w:b/>
          <w:bCs/>
        </w:rPr>
        <w:t>题</w:t>
      </w:r>
      <w:r>
        <w:rPr>
          <w:b/>
          <w:bCs/>
        </w:rPr>
        <w:t>9</w:t>
      </w:r>
      <w:r>
        <w:rPr>
          <w:rFonts w:ascii="宋体" w:hAnsi="宋体" w:eastAsia="宋体" w:cs="宋体"/>
          <w:b/>
          <w:bCs/>
        </w:rPr>
        <w:t>分，</w:t>
      </w:r>
      <w:r>
        <w:rPr>
          <w:b/>
          <w:bCs/>
        </w:rPr>
        <w:t>27</w:t>
      </w:r>
      <w:r>
        <w:rPr>
          <w:rFonts w:ascii="宋体" w:hAnsi="宋体" w:eastAsia="宋体" w:cs="宋体"/>
          <w:b/>
          <w:bCs/>
        </w:rPr>
        <w:t>题</w:t>
      </w:r>
      <w:r>
        <w:rPr>
          <w:b/>
          <w:bCs/>
        </w:rPr>
        <w:t>12</w:t>
      </w:r>
      <w:r>
        <w:rPr>
          <w:rFonts w:ascii="宋体" w:hAnsi="宋体" w:eastAsia="宋体" w:cs="宋体"/>
          <w:b/>
          <w:bCs/>
        </w:rPr>
        <w:t>分，</w:t>
      </w:r>
      <w:r>
        <w:rPr>
          <w:b/>
          <w:bCs/>
        </w:rPr>
        <w:t>28</w:t>
      </w:r>
      <w:r>
        <w:rPr>
          <w:rFonts w:ascii="宋体" w:hAnsi="宋体" w:eastAsia="宋体" w:cs="宋体"/>
          <w:b/>
          <w:bCs/>
        </w:rPr>
        <w:t>题</w:t>
      </w:r>
      <w:r>
        <w:rPr>
          <w:b/>
          <w:bCs/>
        </w:rPr>
        <w:t>30</w:t>
      </w:r>
      <w:r>
        <w:rPr>
          <w:rFonts w:ascii="宋体" w:hAnsi="宋体" w:eastAsia="宋体" w:cs="宋体"/>
          <w:b/>
          <w:bCs/>
        </w:rPr>
        <w:t>分，共</w:t>
      </w:r>
      <w:r>
        <w:rPr>
          <w:b/>
          <w:bCs/>
        </w:rPr>
        <w:t>70</w:t>
      </w:r>
      <w:r>
        <w:rPr>
          <w:rFonts w:ascii="宋体" w:hAnsi="宋体" w:eastAsia="宋体" w:cs="宋体"/>
          <w:b/>
          <w:bCs/>
        </w:rPr>
        <w:t>分）</w:t>
      </w:r>
    </w:p>
    <w:p w14:paraId="0198ACAF">
      <w:pPr>
        <w:widowControl w:val="0"/>
        <w:spacing w:before="0" w:after="0" w:line="360" w:lineRule="auto"/>
        <w:rPr>
          <w:sz w:val="21"/>
          <w:szCs w:val="21"/>
        </w:rPr>
      </w:pPr>
      <w:r>
        <w:rPr>
          <w:sz w:val="21"/>
          <w:szCs w:val="21"/>
        </w:rPr>
        <w:t xml:space="preserve">13. </w:t>
      </w:r>
      <w:r>
        <w:rPr>
          <w:rFonts w:ascii="宋体" w:hAnsi="宋体" w:eastAsia="宋体" w:cs="宋体"/>
          <w:sz w:val="21"/>
          <w:szCs w:val="21"/>
        </w:rPr>
        <w:t>阅读材料，完成下列要求。</w:t>
      </w:r>
    </w:p>
    <w:p w14:paraId="5EE61066">
      <w:pPr>
        <w:widowControl w:val="0"/>
        <w:spacing w:before="0" w:after="0" w:line="360" w:lineRule="auto"/>
        <w:ind w:firstLine="420"/>
        <w:rPr>
          <w:sz w:val="21"/>
          <w:szCs w:val="21"/>
        </w:rPr>
      </w:pPr>
      <w:r>
        <w:rPr>
          <w:rFonts w:ascii="楷体" w:hAnsi="楷体" w:eastAsia="楷体" w:cs="楷体"/>
          <w:sz w:val="21"/>
          <w:szCs w:val="21"/>
        </w:rPr>
        <w:t>近年来，我国大力发展养老事业和养老产业，在国家政策激励下，一大批年轻人积极投身养老行业，他们用青春守护最美“夕阳红”。</w:t>
      </w:r>
    </w:p>
    <w:tbl>
      <w:tblPr>
        <w:tblStyle w:val="4"/>
        <w:tblW w:w="7200"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7200"/>
      </w:tblGrid>
      <w:tr w14:paraId="1887A2C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7200" w:type="dxa"/>
            <w:noWrap w:val="0"/>
            <w:tcMar>
              <w:top w:w="76" w:type="dxa"/>
              <w:left w:w="120" w:type="dxa"/>
              <w:bottom w:w="76" w:type="dxa"/>
              <w:right w:w="120" w:type="dxa"/>
            </w:tcMar>
            <w:vAlign w:val="center"/>
          </w:tcPr>
          <w:p w14:paraId="57E3D74D">
            <w:pPr>
              <w:widowControl w:val="0"/>
              <w:spacing w:before="0" w:after="0" w:line="360" w:lineRule="auto"/>
              <w:jc w:val="center"/>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相关链接</w:t>
            </w:r>
          </w:p>
          <w:p w14:paraId="582C2008">
            <w:pPr>
              <w:widowControl w:val="0"/>
              <w:spacing w:before="0" w:after="0" w:line="360" w:lineRule="auto"/>
              <w:ind w:firstLine="420"/>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截至</w:t>
            </w:r>
            <w:r>
              <w:rPr>
                <w:b w:val="0"/>
                <w:bCs w:val="0"/>
                <w:i w:val="0"/>
                <w:iCs w:val="0"/>
                <w:smallCaps w:val="0"/>
                <w:color w:val="000000"/>
                <w:sz w:val="21"/>
                <w:szCs w:val="21"/>
              </w:rPr>
              <w:t>2023</w:t>
            </w:r>
            <w:r>
              <w:rPr>
                <w:rFonts w:ascii="楷体" w:hAnsi="楷体" w:eastAsia="楷体" w:cs="楷体"/>
                <w:b w:val="0"/>
                <w:bCs w:val="0"/>
                <w:i w:val="0"/>
                <w:iCs w:val="0"/>
                <w:smallCaps w:val="0"/>
                <w:color w:val="000000"/>
                <w:sz w:val="21"/>
                <w:szCs w:val="21"/>
              </w:rPr>
              <w:t>年末，我国</w:t>
            </w:r>
            <w:r>
              <w:rPr>
                <w:b w:val="0"/>
                <w:bCs w:val="0"/>
                <w:i w:val="0"/>
                <w:iCs w:val="0"/>
                <w:smallCaps w:val="0"/>
                <w:color w:val="000000"/>
                <w:sz w:val="21"/>
                <w:szCs w:val="21"/>
              </w:rPr>
              <w:t>60</w:t>
            </w:r>
            <w:r>
              <w:rPr>
                <w:rFonts w:ascii="楷体" w:hAnsi="楷体" w:eastAsia="楷体" w:cs="楷体"/>
                <w:b w:val="0"/>
                <w:bCs w:val="0"/>
                <w:i w:val="0"/>
                <w:iCs w:val="0"/>
                <w:smallCaps w:val="0"/>
                <w:color w:val="000000"/>
                <w:sz w:val="21"/>
                <w:szCs w:val="21"/>
              </w:rPr>
              <w:t>岁及以上人口超</w:t>
            </w:r>
            <w:r>
              <w:rPr>
                <w:b w:val="0"/>
                <w:bCs w:val="0"/>
                <w:i w:val="0"/>
                <w:iCs w:val="0"/>
                <w:smallCaps w:val="0"/>
                <w:color w:val="000000"/>
                <w:sz w:val="21"/>
                <w:szCs w:val="21"/>
              </w:rPr>
              <w:t>2.9</w:t>
            </w:r>
            <w:r>
              <w:rPr>
                <w:rFonts w:ascii="楷体" w:hAnsi="楷体" w:eastAsia="楷体" w:cs="楷体"/>
                <w:b w:val="0"/>
                <w:bCs w:val="0"/>
                <w:i w:val="0"/>
                <w:iCs w:val="0"/>
                <w:smallCaps w:val="0"/>
                <w:color w:val="000000"/>
                <w:sz w:val="21"/>
                <w:szCs w:val="21"/>
              </w:rPr>
              <w:t>亿，占全国人口的</w:t>
            </w:r>
            <w:r>
              <w:rPr>
                <w:b w:val="0"/>
                <w:bCs w:val="0"/>
                <w:i w:val="0"/>
                <w:iCs w:val="0"/>
                <w:smallCaps w:val="0"/>
                <w:color w:val="000000"/>
                <w:sz w:val="21"/>
                <w:szCs w:val="21"/>
              </w:rPr>
              <w:t>21.1%</w:t>
            </w:r>
            <w:r>
              <w:rPr>
                <w:rFonts w:ascii="楷体" w:hAnsi="楷体" w:eastAsia="楷体" w:cs="楷体"/>
                <w:b w:val="0"/>
                <w:bCs w:val="0"/>
                <w:i w:val="0"/>
                <w:iCs w:val="0"/>
                <w:smallCaps w:val="0"/>
                <w:color w:val="000000"/>
                <w:sz w:val="21"/>
                <w:szCs w:val="21"/>
              </w:rPr>
              <w:t>，其中</w:t>
            </w:r>
            <w:r>
              <w:rPr>
                <w:b w:val="0"/>
                <w:bCs w:val="0"/>
                <w:i w:val="0"/>
                <w:iCs w:val="0"/>
                <w:smallCaps w:val="0"/>
                <w:color w:val="000000"/>
                <w:sz w:val="21"/>
                <w:szCs w:val="21"/>
              </w:rPr>
              <w:t>65</w:t>
            </w:r>
            <w:r>
              <w:rPr>
                <w:rFonts w:ascii="楷体" w:hAnsi="楷体" w:eastAsia="楷体" w:cs="楷体"/>
                <w:b w:val="0"/>
                <w:bCs w:val="0"/>
                <w:i w:val="0"/>
                <w:iCs w:val="0"/>
                <w:smallCaps w:val="0"/>
                <w:color w:val="000000"/>
                <w:sz w:val="21"/>
                <w:szCs w:val="21"/>
              </w:rPr>
              <w:t>岁及以上人口超</w:t>
            </w:r>
            <w:r>
              <w:rPr>
                <w:b w:val="0"/>
                <w:bCs w:val="0"/>
                <w:i w:val="0"/>
                <w:iCs w:val="0"/>
                <w:smallCaps w:val="0"/>
                <w:color w:val="000000"/>
                <w:sz w:val="21"/>
                <w:szCs w:val="21"/>
              </w:rPr>
              <w:t>2.1</w:t>
            </w:r>
            <w:r>
              <w:rPr>
                <w:rFonts w:ascii="楷体" w:hAnsi="楷体" w:eastAsia="楷体" w:cs="楷体"/>
                <w:b w:val="0"/>
                <w:bCs w:val="0"/>
                <w:i w:val="0"/>
                <w:iCs w:val="0"/>
                <w:smallCaps w:val="0"/>
                <w:color w:val="000000"/>
                <w:sz w:val="21"/>
                <w:szCs w:val="21"/>
              </w:rPr>
              <w:t>亿，占全国人口的</w:t>
            </w:r>
            <w:r>
              <w:rPr>
                <w:b w:val="0"/>
                <w:bCs w:val="0"/>
                <w:i w:val="0"/>
                <w:iCs w:val="0"/>
                <w:smallCaps w:val="0"/>
                <w:color w:val="000000"/>
                <w:sz w:val="21"/>
                <w:szCs w:val="21"/>
              </w:rPr>
              <w:t>15.4%</w:t>
            </w:r>
            <w:r>
              <w:rPr>
                <w:rFonts w:ascii="楷体" w:hAnsi="楷体" w:eastAsia="楷体" w:cs="楷体"/>
                <w:b w:val="0"/>
                <w:bCs w:val="0"/>
                <w:i w:val="0"/>
                <w:iCs w:val="0"/>
                <w:smallCaps w:val="0"/>
                <w:color w:val="000000"/>
                <w:sz w:val="21"/>
                <w:szCs w:val="21"/>
              </w:rPr>
              <w:t>。预计</w:t>
            </w:r>
            <w:r>
              <w:rPr>
                <w:b w:val="0"/>
                <w:bCs w:val="0"/>
                <w:i w:val="0"/>
                <w:iCs w:val="0"/>
                <w:smallCaps w:val="0"/>
                <w:color w:val="000000"/>
                <w:sz w:val="21"/>
                <w:szCs w:val="21"/>
              </w:rPr>
              <w:t>2035</w:t>
            </w:r>
            <w:r>
              <w:rPr>
                <w:rFonts w:ascii="楷体" w:hAnsi="楷体" w:eastAsia="楷体" w:cs="楷体"/>
                <w:b w:val="0"/>
                <w:bCs w:val="0"/>
                <w:i w:val="0"/>
                <w:iCs w:val="0"/>
                <w:smallCaps w:val="0"/>
                <w:color w:val="000000"/>
                <w:sz w:val="21"/>
                <w:szCs w:val="21"/>
              </w:rPr>
              <w:t>年前后，</w:t>
            </w:r>
            <w:r>
              <w:rPr>
                <w:b w:val="0"/>
                <w:bCs w:val="0"/>
                <w:i w:val="0"/>
                <w:iCs w:val="0"/>
                <w:smallCaps w:val="0"/>
                <w:color w:val="000000"/>
                <w:sz w:val="21"/>
                <w:szCs w:val="21"/>
              </w:rPr>
              <w:t>60</w:t>
            </w:r>
            <w:r>
              <w:rPr>
                <w:rFonts w:ascii="楷体" w:hAnsi="楷体" w:eastAsia="楷体" w:cs="楷体"/>
                <w:b w:val="0"/>
                <w:bCs w:val="0"/>
                <w:i w:val="0"/>
                <w:iCs w:val="0"/>
                <w:smallCaps w:val="0"/>
                <w:color w:val="000000"/>
                <w:sz w:val="21"/>
                <w:szCs w:val="21"/>
              </w:rPr>
              <w:t>岁及以上人口将突破</w:t>
            </w:r>
            <w:r>
              <w:rPr>
                <w:b w:val="0"/>
                <w:bCs w:val="0"/>
                <w:i w:val="0"/>
                <w:iCs w:val="0"/>
                <w:smallCaps w:val="0"/>
                <w:color w:val="000000"/>
                <w:sz w:val="21"/>
                <w:szCs w:val="21"/>
              </w:rPr>
              <w:t>4</w:t>
            </w:r>
            <w:r>
              <w:rPr>
                <w:rFonts w:ascii="楷体" w:hAnsi="楷体" w:eastAsia="楷体" w:cs="楷体"/>
                <w:b w:val="0"/>
                <w:bCs w:val="0"/>
                <w:i w:val="0"/>
                <w:iCs w:val="0"/>
                <w:smallCaps w:val="0"/>
                <w:color w:val="000000"/>
                <w:sz w:val="21"/>
                <w:szCs w:val="21"/>
              </w:rPr>
              <w:t>亿，在总人口中占比将超过</w:t>
            </w:r>
            <w:r>
              <w:rPr>
                <w:b w:val="0"/>
                <w:bCs w:val="0"/>
                <w:i w:val="0"/>
                <w:iCs w:val="0"/>
                <w:smallCaps w:val="0"/>
                <w:color w:val="000000"/>
                <w:sz w:val="21"/>
                <w:szCs w:val="21"/>
              </w:rPr>
              <w:t>30%</w:t>
            </w:r>
            <w:r>
              <w:rPr>
                <w:rFonts w:ascii="楷体" w:hAnsi="楷体" w:eastAsia="楷体" w:cs="楷体"/>
                <w:b w:val="0"/>
                <w:bCs w:val="0"/>
                <w:i w:val="0"/>
                <w:iCs w:val="0"/>
                <w:smallCaps w:val="0"/>
                <w:color w:val="000000"/>
                <w:sz w:val="21"/>
                <w:szCs w:val="21"/>
              </w:rPr>
              <w:t>。</w:t>
            </w:r>
          </w:p>
        </w:tc>
      </w:tr>
    </w:tbl>
    <w:p w14:paraId="28E17EA8">
      <w:pPr>
        <w:widowControl w:val="0"/>
        <w:spacing w:before="0" w:after="0" w:line="360" w:lineRule="auto"/>
        <w:ind w:firstLine="420"/>
        <w:rPr>
          <w:sz w:val="21"/>
          <w:szCs w:val="21"/>
        </w:rPr>
      </w:pPr>
      <w:r>
        <w:rPr>
          <w:rFonts w:ascii="楷体" w:hAnsi="楷体" w:eastAsia="楷体" w:cs="楷体"/>
          <w:sz w:val="21"/>
          <w:szCs w:val="21"/>
        </w:rPr>
        <w:t>“老年人照护是我打算长期从事的工作领域。”</w:t>
      </w:r>
      <w:r>
        <w:rPr>
          <w:sz w:val="21"/>
          <w:szCs w:val="21"/>
        </w:rPr>
        <w:t>22</w:t>
      </w:r>
      <w:r>
        <w:rPr>
          <w:rFonts w:ascii="楷体" w:hAnsi="楷体" w:eastAsia="楷体" w:cs="楷体"/>
          <w:sz w:val="21"/>
          <w:szCs w:val="21"/>
        </w:rPr>
        <w:t>岁的王九达是某养老有限公司护理员，曾在</w:t>
      </w:r>
      <w:r>
        <w:rPr>
          <w:sz w:val="21"/>
          <w:szCs w:val="21"/>
        </w:rPr>
        <w:t>2022</w:t>
      </w:r>
      <w:r>
        <w:rPr>
          <w:rFonts w:ascii="楷体" w:hAnsi="楷体" w:eastAsia="楷体" w:cs="楷体"/>
          <w:sz w:val="21"/>
          <w:szCs w:val="21"/>
        </w:rPr>
        <w:t>年全国职业院校技能大赛高职组养老服务技能比赛中获得二等奖。王九达然年纪轻轻，但对于照护老人颇有心得。“照护工作看着简单，想做好却不容易。因为每位老人的身体状况各不相同，服务中需要专业的职业技能，比如，给老人翻身的力度、穿衣服时老人手臂弯曲的角度，都需要准确把握。”由于王九达的服务热情周到细致，很多老人都成了他的“粉丝”，他也成了公司里的“</w:t>
      </w:r>
      <w:r>
        <w:rPr>
          <w:sz w:val="21"/>
          <w:szCs w:val="21"/>
        </w:rPr>
        <w:t>00</w:t>
      </w:r>
      <w:r>
        <w:rPr>
          <w:rFonts w:ascii="楷体" w:hAnsi="楷体" w:eastAsia="楷体" w:cs="楷体"/>
          <w:sz w:val="21"/>
          <w:szCs w:val="21"/>
        </w:rPr>
        <w:t>后”服务标兵。</w:t>
      </w:r>
    </w:p>
    <w:p w14:paraId="4611E2E5">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）据材料，从国情角度概括我国大力发展养老事业和养老产业</w:t>
      </w:r>
      <w:r>
        <w:rPr>
          <w:strike w:val="0"/>
          <w:sz w:val="21"/>
          <w:szCs w:val="21"/>
          <w:u w:val="none"/>
        </w:rPr>
        <w:drawing>
          <wp:inline distT="0" distB="0" distL="114300" distR="114300">
            <wp:extent cx="133350" cy="180975"/>
            <wp:effectExtent l="0" t="0" r="0" b="8890"/>
            <wp:docPr id="100067" name="图片 100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7" name="图片 100067"/>
                    <pic:cNvPicPr>
                      <a:picLocks noChangeAspect="1"/>
                    </pic:cNvPicPr>
                  </pic:nvPicPr>
                  <pic:blipFill>
                    <a:blip r:embed="rId15"/>
                    <a:stretch>
                      <a:fillRect/>
                    </a:stretch>
                  </pic:blipFill>
                  <pic:spPr>
                    <a:xfrm>
                      <a:off x="0" y="0"/>
                      <a:ext cx="133350" cy="180975"/>
                    </a:xfrm>
                    <a:prstGeom prst="rect">
                      <a:avLst/>
                    </a:prstGeom>
                  </pic:spPr>
                </pic:pic>
              </a:graphicData>
            </a:graphic>
          </wp:inline>
        </w:drawing>
      </w:r>
      <w:r>
        <w:rPr>
          <w:rFonts w:ascii="宋体" w:hAnsi="宋体" w:eastAsia="宋体" w:cs="宋体"/>
          <w:sz w:val="21"/>
          <w:szCs w:val="21"/>
        </w:rPr>
        <w:t>原因。</w:t>
      </w:r>
    </w:p>
    <w:p w14:paraId="0E5D896B">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）王九达的故事对你有哪些启示？</w:t>
      </w:r>
    </w:p>
    <w:p w14:paraId="62CA0BF5">
      <w:pPr>
        <w:widowControl w:val="0"/>
        <w:spacing w:before="0" w:after="0" w:line="360" w:lineRule="auto"/>
        <w:rPr>
          <w:sz w:val="21"/>
          <w:szCs w:val="21"/>
        </w:rPr>
      </w:pPr>
      <w:r>
        <w:rPr>
          <w:rFonts w:ascii="宋体" w:hAnsi="宋体" w:eastAsia="宋体" w:cs="宋体"/>
          <w:sz w:val="21"/>
          <w:szCs w:val="21"/>
        </w:rPr>
        <w:t>（</w:t>
      </w:r>
      <w:r>
        <w:rPr>
          <w:sz w:val="21"/>
          <w:szCs w:val="21"/>
        </w:rPr>
        <w:t>3</w:t>
      </w:r>
      <w:r>
        <w:rPr>
          <w:rFonts w:ascii="宋体" w:hAnsi="宋体" w:eastAsia="宋体" w:cs="宋体"/>
          <w:sz w:val="21"/>
          <w:szCs w:val="21"/>
        </w:rPr>
        <w:t>）如果你到敬老院做志愿者，你会为老人做些什么？请写出两种具体做法。</w:t>
      </w:r>
    </w:p>
    <w:p w14:paraId="1308B7BE">
      <w:pPr>
        <w:widowControl w:val="0"/>
        <w:spacing w:before="0" w:after="0" w:line="360" w:lineRule="auto"/>
        <w:rPr>
          <w:sz w:val="21"/>
          <w:szCs w:val="21"/>
        </w:rPr>
      </w:pPr>
      <w:r>
        <w:rPr>
          <w:sz w:val="21"/>
          <w:szCs w:val="21"/>
        </w:rPr>
        <w:t xml:space="preserve">14. </w:t>
      </w:r>
      <w:r>
        <w:rPr>
          <w:rFonts w:ascii="宋体" w:hAnsi="宋体" w:eastAsia="宋体" w:cs="宋体"/>
          <w:sz w:val="21"/>
          <w:szCs w:val="21"/>
        </w:rPr>
        <w:t>阅读材料。完成下列要求。</w:t>
      </w:r>
    </w:p>
    <w:p w14:paraId="1AB1A41A">
      <w:pPr>
        <w:widowControl w:val="0"/>
        <w:spacing w:before="0" w:after="0" w:line="360" w:lineRule="auto"/>
        <w:ind w:firstLine="420"/>
        <w:rPr>
          <w:sz w:val="21"/>
          <w:szCs w:val="21"/>
        </w:rPr>
      </w:pPr>
      <w:r>
        <w:rPr>
          <w:rFonts w:ascii="楷体" w:hAnsi="楷体" w:eastAsia="楷体" w:cs="楷体"/>
          <w:sz w:val="21"/>
          <w:szCs w:val="21"/>
        </w:rPr>
        <w:t>材料一</w:t>
      </w:r>
      <w:r>
        <w:rPr>
          <w:sz w:val="21"/>
          <w:szCs w:val="21"/>
        </w:rPr>
        <w:t xml:space="preserve">  </w:t>
      </w:r>
      <w:r>
        <w:rPr>
          <w:rFonts w:ascii="楷体" w:hAnsi="楷体" w:eastAsia="楷体" w:cs="楷体"/>
          <w:sz w:val="21"/>
          <w:szCs w:val="21"/>
        </w:rPr>
        <w:t>基层立法联系点的立法联络员，是人民群众与立法机关之间的“信使”，他经常进村入户，了解社情民意，掌握民愿民声，征询立法意见，宣传法律法规，一方面把人民群众的期盼以法律草案意见建议的方式反映到立法机关，另一方面把法律法规的要求和法律的精神传递给人民群众。</w:t>
      </w:r>
    </w:p>
    <w:p w14:paraId="2AF2F92B">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）结合材料一，概括指出立法联络员对法治中国建设的贡献。</w:t>
      </w:r>
    </w:p>
    <w:p w14:paraId="5FDC5D0A">
      <w:pPr>
        <w:widowControl w:val="0"/>
        <w:spacing w:before="0" w:after="0" w:line="360" w:lineRule="auto"/>
        <w:ind w:firstLine="420"/>
        <w:rPr>
          <w:sz w:val="21"/>
          <w:szCs w:val="21"/>
        </w:rPr>
      </w:pPr>
      <w:r>
        <w:rPr>
          <w:rFonts w:ascii="楷体" w:hAnsi="楷体" w:eastAsia="楷体" w:cs="楷体"/>
          <w:sz w:val="21"/>
          <w:szCs w:val="21"/>
        </w:rPr>
        <w:t>材料二</w:t>
      </w:r>
      <w:r>
        <w:rPr>
          <w:sz w:val="21"/>
          <w:szCs w:val="21"/>
        </w:rPr>
        <w:t xml:space="preserve">  </w:t>
      </w:r>
      <w:r>
        <w:rPr>
          <w:rFonts w:ascii="楷体" w:hAnsi="楷体" w:eastAsia="楷体" w:cs="楷体"/>
          <w:sz w:val="21"/>
          <w:szCs w:val="21"/>
        </w:rPr>
        <w:t>某基层立法联系点的负责人在走访调研中了解到，本地全国重点文物保护单位马家窑遗址、辛店遗址和寺洼遗址年代久远、保护难度大，需要加大保护力度。于是，他提出立法保护马家窑遗址、辛店遗址和寺洼遗址的建议。该建议引起有关部门的关注，最终，保护遗址的相关法规由省人大常委会通过。</w:t>
      </w:r>
    </w:p>
    <w:p w14:paraId="20084A54">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）结合材料二，运用所学知识，简要说明该负责人是法治的践行者和崇尚者。</w:t>
      </w:r>
    </w:p>
    <w:p w14:paraId="3BFCC5CA">
      <w:pPr>
        <w:widowControl w:val="0"/>
        <w:spacing w:before="0" w:after="0" w:line="360" w:lineRule="auto"/>
        <w:rPr>
          <w:sz w:val="21"/>
          <w:szCs w:val="21"/>
        </w:rPr>
      </w:pPr>
      <w:r>
        <w:rPr>
          <w:rFonts w:ascii="宋体" w:hAnsi="宋体" w:eastAsia="宋体" w:cs="宋体"/>
          <w:sz w:val="21"/>
          <w:szCs w:val="21"/>
        </w:rPr>
        <w:t>（</w:t>
      </w:r>
      <w:r>
        <w:rPr>
          <w:sz w:val="21"/>
          <w:szCs w:val="21"/>
        </w:rPr>
        <w:t>3</w:t>
      </w:r>
      <w:r>
        <w:rPr>
          <w:rFonts w:ascii="宋体" w:hAnsi="宋体" w:eastAsia="宋体" w:cs="宋体"/>
          <w:sz w:val="21"/>
          <w:szCs w:val="21"/>
        </w:rPr>
        <w:t>）基层立法联系点的立法联络员和负责人都是服务社会和国家的角色。除此之外，这样的角色还有很多，如新型农民、大国工匠、环保志愿者、法官、企业经营者等。请你从这五个角色中选定一个角色，并就如何发挥这一角色的作用谈谈设想。（要求：任选一个角色，发挥作用的设想与角色相符，体现服务社会和国家）</w:t>
      </w:r>
      <w:r>
        <w:rPr>
          <w:strike w:val="0"/>
          <w:sz w:val="21"/>
          <w:szCs w:val="21"/>
          <w:u w:val="none"/>
        </w:rPr>
        <w:drawing>
          <wp:inline distT="0" distB="0" distL="114300" distR="114300">
            <wp:extent cx="28575" cy="28575"/>
            <wp:effectExtent l="0" t="0" r="0" b="0"/>
            <wp:docPr id="100069" name="图片 100069" descr="page number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9" name="图片 100069" descr="page number 3"/>
                    <pic:cNvPicPr>
                      <a:picLocks noChangeAspect="1"/>
                    </pic:cNvPicPr>
                  </pic:nvPicPr>
                  <pic:blipFill>
                    <a:blip r:embed="rId16"/>
                    <a:stretch>
                      <a:fillRect/>
                    </a:stretch>
                  </pic:blipFill>
                  <pic:spPr>
                    <a:xfrm>
                      <a:off x="0" y="0"/>
                      <a:ext cx="28575" cy="28575"/>
                    </a:xfrm>
                    <a:prstGeom prst="rect">
                      <a:avLst/>
                    </a:prstGeom>
                  </pic:spPr>
                </pic:pic>
              </a:graphicData>
            </a:graphic>
          </wp:inline>
        </w:drawing>
      </w:r>
    </w:p>
    <w:p w14:paraId="38DFC888">
      <w:pPr>
        <w:sectPr>
          <w:headerReference r:id="rId11" w:type="default"/>
          <w:type w:val="continuous"/>
          <w:pgSz w:w="11927" w:h="16875"/>
          <w:pgMar w:top="800" w:right="1120" w:bottom="540" w:left="1120" w:header="708" w:footer="708" w:gutter="0"/>
          <w:cols w:space="708" w:num="1"/>
          <w:docGrid w:linePitch="360" w:charSpace="0"/>
        </w:sectPr>
      </w:pPr>
    </w:p>
    <w:p w14:paraId="423088B2">
      <w:pPr>
        <w:widowControl w:val="0"/>
        <w:spacing w:before="0" w:after="0" w:line="360" w:lineRule="auto"/>
        <w:jc w:val="both"/>
        <w:rPr>
          <w:sz w:val="21"/>
          <w:szCs w:val="21"/>
        </w:rPr>
      </w:pPr>
      <w:bookmarkStart w:id="0" w:name="_GoBack"/>
      <w:bookmarkEnd w:id="0"/>
      <w:r>
        <w:rPr>
          <w:sz w:val="21"/>
          <w:szCs w:val="21"/>
        </w:rPr>
        <w:t xml:space="preserve">15. </w:t>
      </w:r>
      <w:r>
        <w:rPr>
          <w:rFonts w:ascii="宋体" w:hAnsi="宋体" w:eastAsia="宋体" w:cs="宋体"/>
          <w:sz w:val="21"/>
          <w:szCs w:val="21"/>
        </w:rPr>
        <w:t>阅读材料，综合运用所学知识探究问题。</w:t>
      </w:r>
    </w:p>
    <w:p w14:paraId="02881F02">
      <w:pPr>
        <w:widowControl w:val="0"/>
        <w:spacing w:before="0" w:after="0" w:line="360" w:lineRule="auto"/>
        <w:ind w:firstLine="420"/>
        <w:jc w:val="both"/>
        <w:rPr>
          <w:sz w:val="21"/>
          <w:szCs w:val="21"/>
        </w:rPr>
      </w:pPr>
      <w:r>
        <w:rPr>
          <w:rFonts w:ascii="楷体" w:hAnsi="楷体" w:eastAsia="楷体" w:cs="楷体"/>
          <w:sz w:val="21"/>
          <w:szCs w:val="21"/>
        </w:rPr>
        <w:t>【红色基因代代相传】</w:t>
      </w:r>
    </w:p>
    <w:p w14:paraId="67BFD3A7">
      <w:pPr>
        <w:widowControl w:val="0"/>
        <w:spacing w:before="0" w:after="0" w:line="360" w:lineRule="auto"/>
        <w:ind w:firstLine="420"/>
        <w:jc w:val="both"/>
        <w:rPr>
          <w:sz w:val="21"/>
          <w:szCs w:val="21"/>
        </w:rPr>
      </w:pPr>
      <w:r>
        <w:rPr>
          <w:rFonts w:ascii="楷体" w:hAnsi="楷体" w:eastAsia="楷体" w:cs="楷体"/>
          <w:sz w:val="21"/>
          <w:szCs w:val="21"/>
        </w:rPr>
        <w:t>材料一</w:t>
      </w:r>
      <w:r>
        <w:rPr>
          <w:sz w:val="21"/>
          <w:szCs w:val="21"/>
        </w:rPr>
        <w:t xml:space="preserve">  </w:t>
      </w:r>
      <w:r>
        <w:rPr>
          <w:rFonts w:ascii="楷体" w:hAnsi="楷体" w:eastAsia="楷体" w:cs="楷体"/>
          <w:sz w:val="21"/>
          <w:szCs w:val="21"/>
        </w:rPr>
        <w:t>红色基因是中国共产党人的精神内核，是中华民族精神的赓续。一个个红色故事，蕴含着中国共产党人薪火相传的红色基因。</w:t>
      </w:r>
    </w:p>
    <w:tbl>
      <w:tblPr>
        <w:tblStyle w:val="4"/>
        <w:tblW w:w="7200"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7200"/>
      </w:tblGrid>
      <w:tr w14:paraId="75C04F3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7200" w:type="dxa"/>
            <w:noWrap w:val="0"/>
            <w:tcMar>
              <w:top w:w="76" w:type="dxa"/>
              <w:left w:w="120" w:type="dxa"/>
              <w:bottom w:w="76" w:type="dxa"/>
              <w:right w:w="120" w:type="dxa"/>
            </w:tcMar>
            <w:vAlign w:val="center"/>
          </w:tcPr>
          <w:p w14:paraId="10F3114F">
            <w:pPr>
              <w:widowControl w:val="0"/>
              <w:spacing w:before="0" w:after="0" w:line="360" w:lineRule="auto"/>
              <w:ind w:firstLine="420"/>
              <w:jc w:val="both"/>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故事一</w:t>
            </w:r>
            <w:r>
              <w:rPr>
                <w:b w:val="0"/>
                <w:bCs w:val="0"/>
                <w:i w:val="0"/>
                <w:iCs w:val="0"/>
                <w:smallCaps w:val="0"/>
                <w:color w:val="000000"/>
                <w:sz w:val="21"/>
                <w:szCs w:val="21"/>
              </w:rPr>
              <w:t xml:space="preserve">  </w:t>
            </w:r>
            <w:r>
              <w:rPr>
                <w:rFonts w:ascii="楷体" w:hAnsi="楷体" w:eastAsia="楷体" w:cs="楷体"/>
                <w:b w:val="0"/>
                <w:bCs w:val="0"/>
                <w:i w:val="0"/>
                <w:iCs w:val="0"/>
                <w:smallCaps w:val="0"/>
                <w:color w:val="000000"/>
                <w:sz w:val="21"/>
                <w:szCs w:val="21"/>
              </w:rPr>
              <w:t>在物质匮乏的</w:t>
            </w:r>
            <w:r>
              <w:rPr>
                <w:b w:val="0"/>
                <w:bCs w:val="0"/>
                <w:i w:val="0"/>
                <w:iCs w:val="0"/>
                <w:smallCaps w:val="0"/>
                <w:color w:val="000000"/>
                <w:sz w:val="21"/>
                <w:szCs w:val="21"/>
              </w:rPr>
              <w:t>60</w:t>
            </w:r>
            <w:r>
              <w:rPr>
                <w:rFonts w:ascii="楷体" w:hAnsi="楷体" w:eastAsia="楷体" w:cs="楷体"/>
                <w:b w:val="0"/>
                <w:bCs w:val="0"/>
                <w:i w:val="0"/>
                <w:iCs w:val="0"/>
                <w:smallCaps w:val="0"/>
                <w:color w:val="000000"/>
                <w:sz w:val="21"/>
                <w:szCs w:val="21"/>
              </w:rPr>
              <w:t>年代，铁人王进喜率领</w:t>
            </w:r>
            <w:r>
              <w:rPr>
                <w:b w:val="0"/>
                <w:bCs w:val="0"/>
                <w:i w:val="0"/>
                <w:iCs w:val="0"/>
                <w:smallCaps w:val="0"/>
                <w:color w:val="000000"/>
                <w:sz w:val="21"/>
                <w:szCs w:val="21"/>
              </w:rPr>
              <w:t>1205</w:t>
            </w:r>
            <w:r>
              <w:rPr>
                <w:rFonts w:ascii="楷体" w:hAnsi="楷体" w:eastAsia="楷体" w:cs="楷体"/>
                <w:b w:val="0"/>
                <w:bCs w:val="0"/>
                <w:i w:val="0"/>
                <w:iCs w:val="0"/>
                <w:smallCaps w:val="0"/>
                <w:color w:val="000000"/>
                <w:sz w:val="21"/>
                <w:szCs w:val="21"/>
              </w:rPr>
              <w:t>钻井队用生命找石油，“宁可少活二十年，拼命也要拿下大油田”，为新中国甩掉“贫油”的帽子作出了突出贡献。</w:t>
            </w:r>
          </w:p>
          <w:p w14:paraId="79D82F51">
            <w:pPr>
              <w:widowControl w:val="0"/>
              <w:spacing w:before="0" w:after="0" w:line="360" w:lineRule="auto"/>
              <w:ind w:firstLine="420"/>
              <w:jc w:val="both"/>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故事二</w:t>
            </w:r>
            <w:r>
              <w:rPr>
                <w:b w:val="0"/>
                <w:bCs w:val="0"/>
                <w:i w:val="0"/>
                <w:iCs w:val="0"/>
                <w:smallCaps w:val="0"/>
                <w:color w:val="000000"/>
                <w:sz w:val="21"/>
                <w:szCs w:val="21"/>
              </w:rPr>
              <w:t xml:space="preserve">  </w:t>
            </w:r>
            <w:r>
              <w:rPr>
                <w:rFonts w:ascii="楷体" w:hAnsi="楷体" w:eastAsia="楷体" w:cs="楷体"/>
                <w:b w:val="0"/>
                <w:bCs w:val="0"/>
                <w:i w:val="0"/>
                <w:iCs w:val="0"/>
                <w:smallCaps w:val="0"/>
                <w:color w:val="000000"/>
                <w:sz w:val="21"/>
                <w:szCs w:val="21"/>
              </w:rPr>
              <w:t>“国家需要我，我一定全力以赴。”于敏，</w:t>
            </w:r>
            <w:r>
              <w:rPr>
                <w:b w:val="0"/>
                <w:bCs w:val="0"/>
                <w:i w:val="0"/>
                <w:iCs w:val="0"/>
                <w:smallCaps w:val="0"/>
                <w:color w:val="000000"/>
                <w:sz w:val="21"/>
                <w:szCs w:val="21"/>
              </w:rPr>
              <w:t>28</w:t>
            </w:r>
            <w:r>
              <w:rPr>
                <w:rFonts w:ascii="楷体" w:hAnsi="楷体" w:eastAsia="楷体" w:cs="楷体"/>
                <w:b w:val="0"/>
                <w:bCs w:val="0"/>
                <w:i w:val="0"/>
                <w:iCs w:val="0"/>
                <w:smallCaps w:val="0"/>
                <w:color w:val="000000"/>
                <w:sz w:val="21"/>
                <w:szCs w:val="21"/>
              </w:rPr>
              <w:t>载隐姓埋名，带领科研团队，在氨弹技术上打破西方垄断，为我国氢弹的成功试爆作出了卓越贡献。</w:t>
            </w:r>
          </w:p>
          <w:p w14:paraId="49D93AF3">
            <w:pPr>
              <w:widowControl w:val="0"/>
              <w:spacing w:before="0" w:after="0" w:line="360" w:lineRule="auto"/>
              <w:ind w:firstLine="420"/>
              <w:jc w:val="both"/>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故事三</w:t>
            </w:r>
            <w:r>
              <w:rPr>
                <w:b w:val="0"/>
                <w:bCs w:val="0"/>
                <w:i w:val="0"/>
                <w:iCs w:val="0"/>
                <w:smallCaps w:val="0"/>
                <w:color w:val="000000"/>
                <w:sz w:val="21"/>
                <w:szCs w:val="21"/>
              </w:rPr>
              <w:t xml:space="preserve">  </w:t>
            </w:r>
            <w:r>
              <w:rPr>
                <w:rFonts w:ascii="楷体" w:hAnsi="楷体" w:eastAsia="楷体" w:cs="楷体"/>
                <w:b w:val="0"/>
                <w:bCs w:val="0"/>
                <w:i w:val="0"/>
                <w:iCs w:val="0"/>
                <w:smallCaps w:val="0"/>
                <w:color w:val="000000"/>
                <w:sz w:val="21"/>
                <w:szCs w:val="21"/>
              </w:rPr>
              <w:t>决战脱贫，不满</w:t>
            </w:r>
            <w:r>
              <w:rPr>
                <w:b w:val="0"/>
                <w:bCs w:val="0"/>
                <w:i w:val="0"/>
                <w:iCs w:val="0"/>
                <w:smallCaps w:val="0"/>
                <w:color w:val="000000"/>
                <w:sz w:val="21"/>
                <w:szCs w:val="21"/>
              </w:rPr>
              <w:t>30</w:t>
            </w:r>
            <w:r>
              <w:rPr>
                <w:rFonts w:ascii="楷体" w:hAnsi="楷体" w:eastAsia="楷体" w:cs="楷体"/>
                <w:b w:val="0"/>
                <w:bCs w:val="0"/>
                <w:i w:val="0"/>
                <w:iCs w:val="0"/>
                <w:smallCaps w:val="0"/>
                <w:color w:val="000000"/>
                <w:sz w:val="21"/>
                <w:szCs w:val="21"/>
              </w:rPr>
              <w:t>岁的黄文秀放弃大城布的工作机会，主动请缨扎根大山，与群众想在一起、干在一起，谱写了新时代的青春之歌。</w:t>
            </w:r>
          </w:p>
        </w:tc>
      </w:tr>
    </w:tbl>
    <w:p w14:paraId="45FB4F0B">
      <w:pPr>
        <w:widowControl w:val="0"/>
        <w:spacing w:before="0" w:after="0" w:line="360" w:lineRule="auto"/>
        <w:jc w:val="both"/>
        <w:rPr>
          <w:sz w:val="21"/>
          <w:szCs w:val="21"/>
        </w:rPr>
      </w:pPr>
    </w:p>
    <w:p w14:paraId="4786E607">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）据材料一，概括故事中的英模人物传承的红色基因。（写出三点即可）</w:t>
      </w:r>
    </w:p>
    <w:p w14:paraId="219069B9">
      <w:pPr>
        <w:widowControl w:val="0"/>
        <w:spacing w:before="0" w:after="0" w:line="360" w:lineRule="auto"/>
        <w:ind w:firstLine="420"/>
        <w:jc w:val="both"/>
        <w:rPr>
          <w:sz w:val="21"/>
          <w:szCs w:val="21"/>
        </w:rPr>
      </w:pPr>
      <w:r>
        <w:rPr>
          <w:rFonts w:ascii="楷体" w:hAnsi="楷体" w:eastAsia="楷体" w:cs="楷体"/>
          <w:sz w:val="21"/>
          <w:szCs w:val="21"/>
        </w:rPr>
        <w:t>材料二</w:t>
      </w:r>
      <w:r>
        <w:rPr>
          <w:sz w:val="21"/>
          <w:szCs w:val="21"/>
        </w:rPr>
        <w:t xml:space="preserve">  </w:t>
      </w:r>
      <w:r>
        <w:rPr>
          <w:rFonts w:ascii="楷体" w:hAnsi="楷体" w:eastAsia="楷体" w:cs="楷体"/>
          <w:sz w:val="21"/>
          <w:szCs w:val="21"/>
        </w:rPr>
        <w:t>红色纪念地和当地学校积极互动、以红色课堂为依托，讲好红色故事、传承红色基因。</w:t>
      </w:r>
    </w:p>
    <w:p w14:paraId="0ED810BB">
      <w:pPr>
        <w:widowControl w:val="0"/>
        <w:spacing w:before="0" w:after="0" w:line="360" w:lineRule="auto"/>
        <w:ind w:firstLine="420"/>
        <w:jc w:val="both"/>
        <w:rPr>
          <w:sz w:val="21"/>
          <w:szCs w:val="21"/>
        </w:rPr>
      </w:pPr>
      <w:r>
        <w:rPr>
          <w:rFonts w:ascii="楷体" w:hAnsi="楷体" w:eastAsia="楷体" w:cs="楷体"/>
          <w:sz w:val="21"/>
          <w:szCs w:val="21"/>
        </w:rPr>
        <w:t>镜头一</w:t>
      </w:r>
      <w:r>
        <w:rPr>
          <w:sz w:val="21"/>
          <w:szCs w:val="21"/>
        </w:rPr>
        <w:t xml:space="preserve">  </w:t>
      </w:r>
      <w:r>
        <w:rPr>
          <w:rFonts w:ascii="楷体" w:hAnsi="楷体" w:eastAsia="楷体" w:cs="楷体"/>
          <w:sz w:val="21"/>
          <w:szCs w:val="21"/>
        </w:rPr>
        <w:t>北京香山革命纪念地，采取将革命传统教育与劳动教育相结合的形式，组织学生在菜园体验种植，为他们讲述中共中央“进京赶考”的故事，让他们在实践中感受红色文化的魅力。</w:t>
      </w:r>
    </w:p>
    <w:p w14:paraId="2C5C3A9A">
      <w:pPr>
        <w:widowControl w:val="0"/>
        <w:spacing w:before="0" w:after="0" w:line="360" w:lineRule="auto"/>
        <w:ind w:firstLine="420"/>
        <w:jc w:val="both"/>
        <w:rPr>
          <w:sz w:val="21"/>
          <w:szCs w:val="21"/>
        </w:rPr>
      </w:pPr>
      <w:r>
        <w:rPr>
          <w:rFonts w:ascii="楷体" w:hAnsi="楷体" w:eastAsia="楷体" w:cs="楷体"/>
          <w:sz w:val="21"/>
          <w:szCs w:val="21"/>
        </w:rPr>
        <w:t>镜头二</w:t>
      </w:r>
      <w:r>
        <w:rPr>
          <w:sz w:val="21"/>
          <w:szCs w:val="21"/>
        </w:rPr>
        <w:t xml:space="preserve">  </w:t>
      </w:r>
      <w:r>
        <w:rPr>
          <w:rFonts w:ascii="楷体" w:hAnsi="楷体" w:eastAsia="楷体" w:cs="楷体"/>
          <w:sz w:val="21"/>
          <w:szCs w:val="21"/>
        </w:rPr>
        <w:t>李大钊纪念馆讲解员和馆内志愿者小讲解员在校园课堂上共同表演情景剧《继承先烈志，共筑强国梦》。同学们在致敬英雄、缅怀先烈中得到精神洗礼，立志做大钊精神的传承者，成为担当民族复兴大任的时代新人。</w:t>
      </w:r>
    </w:p>
    <w:p w14:paraId="39A28500">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）同学们通过参加上述活动，深切感受到：红色课堂“有意思”更“有意义”。请依据材料二中</w:t>
      </w:r>
      <w:r>
        <w:rPr>
          <w:strike w:val="0"/>
          <w:sz w:val="21"/>
          <w:szCs w:val="21"/>
          <w:u w:val="none"/>
        </w:rPr>
        <w:drawing>
          <wp:inline distT="0" distB="0" distL="114300" distR="114300">
            <wp:extent cx="133350" cy="180975"/>
            <wp:effectExtent l="0" t="0" r="0" b="8890"/>
            <wp:docPr id="100083" name="图片 100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3" name="图片 100083"/>
                    <pic:cNvPicPr>
                      <a:picLocks noChangeAspect="1"/>
                    </pic:cNvPicPr>
                  </pic:nvPicPr>
                  <pic:blipFill>
                    <a:blip r:embed="rId15"/>
                    <a:stretch>
                      <a:fillRect/>
                    </a:stretch>
                  </pic:blipFill>
                  <pic:spPr>
                    <a:xfrm>
                      <a:off x="0" y="0"/>
                      <a:ext cx="133350" cy="180975"/>
                    </a:xfrm>
                    <a:prstGeom prst="rect">
                      <a:avLst/>
                    </a:prstGeom>
                  </pic:spPr>
                </pic:pic>
              </a:graphicData>
            </a:graphic>
          </wp:inline>
        </w:drawing>
      </w:r>
      <w:r>
        <w:rPr>
          <w:rFonts w:ascii="宋体" w:hAnsi="宋体" w:eastAsia="宋体" w:cs="宋体"/>
          <w:sz w:val="21"/>
          <w:szCs w:val="21"/>
        </w:rPr>
        <w:t>两个镜头，续写你对“有意义”的理解。</w:t>
      </w:r>
    </w:p>
    <w:tbl>
      <w:tblPr>
        <w:tblStyle w:val="4"/>
        <w:tblW w:w="7890"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2280"/>
        <w:gridCol w:w="5610"/>
      </w:tblGrid>
      <w:tr w14:paraId="27B3B12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2280" w:type="dxa"/>
            <w:tcBorders>
              <w:bottom w:val="single" w:color="000000" w:sz="6" w:space="0"/>
              <w:right w:val="single" w:color="000000" w:sz="6" w:space="0"/>
            </w:tcBorders>
            <w:noWrap w:val="0"/>
            <w:tcMar>
              <w:top w:w="76" w:type="dxa"/>
              <w:left w:w="120" w:type="dxa"/>
              <w:bottom w:w="76" w:type="dxa"/>
              <w:right w:w="120" w:type="dxa"/>
            </w:tcMar>
            <w:vAlign w:val="center"/>
          </w:tcPr>
          <w:p w14:paraId="3D2435E9">
            <w:pPr>
              <w:widowControl w:val="0"/>
              <w:spacing w:before="0" w:after="0" w:line="360" w:lineRule="auto"/>
              <w:jc w:val="center"/>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红色课堂“有意思”</w:t>
            </w:r>
          </w:p>
        </w:tc>
        <w:tc>
          <w:tcPr>
            <w:tcW w:w="5610" w:type="dxa"/>
            <w:tcBorders>
              <w:left w:val="single" w:color="000000" w:sz="6" w:space="0"/>
              <w:bottom w:val="single" w:color="000000" w:sz="6" w:space="0"/>
            </w:tcBorders>
            <w:noWrap w:val="0"/>
            <w:tcMar>
              <w:top w:w="76" w:type="dxa"/>
              <w:left w:w="120" w:type="dxa"/>
              <w:bottom w:w="76" w:type="dxa"/>
              <w:right w:w="120" w:type="dxa"/>
            </w:tcMar>
            <w:vAlign w:val="center"/>
          </w:tcPr>
          <w:p w14:paraId="3716DB4B">
            <w:pPr>
              <w:widowControl w:val="0"/>
              <w:spacing w:before="0" w:after="0" w:line="360" w:lineRule="auto"/>
              <w:jc w:val="both"/>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红色课堂形式新颜，贴近生活，能够调动我们参与活动的积极性。</w:t>
            </w:r>
          </w:p>
        </w:tc>
      </w:tr>
      <w:tr w14:paraId="52030E6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2280" w:type="dxa"/>
            <w:tcBorders>
              <w:top w:val="single" w:color="000000" w:sz="6" w:space="0"/>
              <w:right w:val="single" w:color="000000" w:sz="6" w:space="0"/>
            </w:tcBorders>
            <w:noWrap w:val="0"/>
            <w:tcMar>
              <w:top w:w="76" w:type="dxa"/>
              <w:left w:w="120" w:type="dxa"/>
              <w:bottom w:w="76" w:type="dxa"/>
              <w:right w:w="120" w:type="dxa"/>
            </w:tcMar>
            <w:vAlign w:val="center"/>
          </w:tcPr>
          <w:p w14:paraId="7A966B5E">
            <w:pPr>
              <w:widowControl w:val="0"/>
              <w:spacing w:before="0" w:after="0" w:line="360" w:lineRule="auto"/>
              <w:jc w:val="center"/>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红色课堂“有意思”</w:t>
            </w:r>
          </w:p>
        </w:tc>
        <w:tc>
          <w:tcPr>
            <w:tcW w:w="5610" w:type="dxa"/>
            <w:tcBorders>
              <w:top w:val="single" w:color="000000" w:sz="6" w:space="0"/>
              <w:left w:val="single" w:color="000000" w:sz="6" w:space="0"/>
            </w:tcBorders>
            <w:noWrap w:val="0"/>
            <w:tcMar>
              <w:top w:w="76" w:type="dxa"/>
              <w:left w:w="120" w:type="dxa"/>
              <w:bottom w:w="76" w:type="dxa"/>
              <w:right w:w="120" w:type="dxa"/>
            </w:tcMar>
            <w:vAlign w:val="center"/>
          </w:tcPr>
          <w:p w14:paraId="0BB197D2">
            <w:pPr>
              <w:widowControl w:val="0"/>
              <w:spacing w:before="0" w:after="0" w:line="360" w:lineRule="auto"/>
              <w:jc w:val="both"/>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红色课堂有利于我们传承红色基因，增强文化认同；有利于</w:t>
            </w:r>
            <w:r>
              <w:rPr>
                <w:b w:val="0"/>
                <w:bCs w:val="0"/>
                <w:i w:val="0"/>
                <w:iCs w:val="0"/>
                <w:smallCaps w:val="0"/>
                <w:color w:val="000000"/>
                <w:sz w:val="21"/>
                <w:szCs w:val="21"/>
              </w:rPr>
              <w:t>______________________________________</w:t>
            </w:r>
          </w:p>
        </w:tc>
      </w:tr>
    </w:tbl>
    <w:p w14:paraId="6A27ACCE">
      <w:pPr>
        <w:widowControl w:val="0"/>
        <w:spacing w:before="0" w:after="0" w:line="360" w:lineRule="auto"/>
        <w:rPr>
          <w:sz w:val="21"/>
          <w:szCs w:val="21"/>
        </w:rPr>
      </w:pPr>
    </w:p>
    <w:p w14:paraId="021CCCD4">
      <w:pPr>
        <w:widowControl w:val="0"/>
        <w:spacing w:before="0" w:after="0" w:line="360" w:lineRule="auto"/>
        <w:rPr>
          <w:sz w:val="21"/>
          <w:szCs w:val="21"/>
        </w:rPr>
      </w:pPr>
    </w:p>
    <w:p w14:paraId="79EF6AB8">
      <w:pPr>
        <w:widowControl w:val="0"/>
        <w:spacing w:before="0" w:after="0" w:line="360" w:lineRule="auto"/>
        <w:rPr>
          <w:sz w:val="21"/>
          <w:szCs w:val="21"/>
        </w:rPr>
      </w:pPr>
      <w:r>
        <w:rPr>
          <w:rFonts w:ascii="宋体" w:hAnsi="宋体" w:eastAsia="宋体" w:cs="宋体"/>
          <w:sz w:val="21"/>
          <w:szCs w:val="21"/>
        </w:rPr>
        <w:t>（</w:t>
      </w:r>
      <w:r>
        <w:rPr>
          <w:sz w:val="21"/>
          <w:szCs w:val="21"/>
        </w:rPr>
        <w:t>3</w:t>
      </w:r>
      <w:r>
        <w:rPr>
          <w:rFonts w:ascii="宋体" w:hAnsi="宋体" w:eastAsia="宋体" w:cs="宋体"/>
          <w:sz w:val="21"/>
          <w:szCs w:val="21"/>
        </w:rPr>
        <w:t>）红色承载光荣梦想，自信成就美好未来。综合上述材料和问题，概括红色文化与自信的中国人的联系。</w:t>
      </w:r>
    </w:p>
    <w:p w14:paraId="2A50466E">
      <w:pPr>
        <w:widowControl w:val="0"/>
        <w:spacing w:before="0" w:after="0" w:line="360" w:lineRule="auto"/>
        <w:jc w:val="both"/>
        <w:rPr>
          <w:sz w:val="21"/>
          <w:szCs w:val="21"/>
        </w:rPr>
      </w:pPr>
      <w:r>
        <w:rPr>
          <w:strike w:val="0"/>
          <w:sz w:val="21"/>
          <w:szCs w:val="21"/>
          <w:u w:val="none"/>
        </w:rPr>
        <w:drawing>
          <wp:inline distT="0" distB="0" distL="114300" distR="114300">
            <wp:extent cx="28575" cy="28575"/>
            <wp:effectExtent l="0" t="0" r="0" b="0"/>
            <wp:docPr id="100085" name="图片 100085" descr="page number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5" name="图片 100085" descr="page number 4"/>
                    <pic:cNvPicPr>
                      <a:picLocks noChangeAspect="1"/>
                    </pic:cNvPicPr>
                  </pic:nvPicPr>
                  <pic:blipFill>
                    <a:blip r:embed="rId16"/>
                    <a:stretch>
                      <a:fillRect/>
                    </a:stretch>
                  </pic:blipFill>
                  <pic:spPr>
                    <a:xfrm>
                      <a:off x="0" y="0"/>
                      <a:ext cx="28575" cy="28575"/>
                    </a:xfrm>
                    <a:prstGeom prst="rect">
                      <a:avLst/>
                    </a:prstGeom>
                  </pic:spPr>
                </pic:pic>
              </a:graphicData>
            </a:graphic>
          </wp:inline>
        </w:drawing>
      </w:r>
    </w:p>
    <w:p w14:paraId="4CD50DF4"/>
    <w:sectPr>
      <w:headerReference r:id="rId12" w:type="default"/>
      <w:type w:val="continuous"/>
      <w:pgSz w:w="11927" w:h="16875"/>
      <w:pgMar w:top="800" w:right="1120" w:bottom="540" w:left="112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auto"/>
    <w:pitch w:val="default"/>
    <w:sig w:usb0="E00002FF" w:usb1="6AC7FDFB" w:usb2="00000012" w:usb3="00000000" w:csb0="4002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FC9AA4">
    <w:pPr>
      <w:pStyle w:val="2"/>
      <w:pBdr>
        <w:bottom w:val="none" w:color="auto" w:sz="0" w:space="0"/>
      </w:pBdr>
      <w:jc w:val="center"/>
      <w:rPr>
        <w:rFonts w:hint="eastAsia" w:eastAsia="宋体"/>
        <w:lang w:eastAsia="zh-CN"/>
      </w:rPr>
    </w:pPr>
    <w:r>
      <w:rPr>
        <w:rFonts w:hint="eastAsia" w:eastAsia="宋体"/>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7AC38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C647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F0B54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10879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FF6EA8">
    <w:pPr>
      <w:pStyle w:val="3"/>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36DC6A">
    <w:pPr>
      <w:pStyle w:val="3"/>
      <w:pBdr>
        <w:bottom w:val="none" w:color="auto" w:sz="0" w:space="1"/>
      </w:pBdr>
      <w:rPr>
        <w:rFonts w:hint="eastAsia"/>
        <w:lang w:eastAsia="zh-CN"/>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9B62A3">
    <w:pPr>
      <w:pStyle w:val="3"/>
      <w:pBdr>
        <w:bottom w:val="none" w:color="auto" w:sz="0" w:space="1"/>
      </w:pBdr>
      <w:rPr>
        <w:rFonts w:hint="eastAsia"/>
        <w:lang w:eastAsia="zh-CN"/>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6E972D">
    <w:pPr>
      <w:pStyle w:val="3"/>
      <w:pBdr>
        <w:bottom w:val="none" w:color="auto" w:sz="0" w:space="1"/>
      </w:pBdr>
      <w:rPr>
        <w:rFonts w:hint="eastAsia"/>
        <w:lang w:eastAsia="zh-CN"/>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C64C3D">
    <w:pPr>
      <w:pStyle w:val="3"/>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noPunctuationKerning w:val="1"/>
  <w:characterSpacingControl w:val="doNotCompress"/>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77B3E"/>
    <w:rsid w:val="00A77B3E"/>
    <w:rsid w:val="00CA2A55"/>
    <w:rsid w:val="271F4B8B"/>
    <w:rsid w:val="46BF2189"/>
    <w:rsid w:val="46C67E8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image" Target="media/image8.png"/><Relationship Id="rId20" Type="http://schemas.openxmlformats.org/officeDocument/2006/relationships/image" Target="media/image7.png"/><Relationship Id="rId2" Type="http://schemas.openxmlformats.org/officeDocument/2006/relationships/settings" Target="settings.xml"/><Relationship Id="rId19" Type="http://schemas.openxmlformats.org/officeDocument/2006/relationships/image" Target="media/image6.png"/><Relationship Id="rId18" Type="http://schemas.openxmlformats.org/officeDocument/2006/relationships/image" Target="media/image5.png"/><Relationship Id="rId17" Type="http://schemas.openxmlformats.org/officeDocument/2006/relationships/image" Target="media/image4.png"/><Relationship Id="rId16" Type="http://schemas.openxmlformats.org/officeDocument/2006/relationships/image" Target="media/image3.png"/><Relationship Id="rId15" Type="http://schemas.openxmlformats.org/officeDocument/2006/relationships/image" Target="media/image2.png"/><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header" Target="header7.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Pages>5</Pages>
  <Words>3945</Words>
  <Characters>4130</Characters>
  <Lines>1</Lines>
  <Paragraphs>1</Paragraphs>
  <TotalTime>0</TotalTime>
  <ScaleCrop>false</ScaleCrop>
  <LinksUpToDate>false</LinksUpToDate>
  <CharactersWithSpaces>4435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2024-06-23T15:12:00Z</dcterms:created>
  <dc:creator>Administrator</dc:creator>
  <cp:lastModifiedBy>上帝掷骰子吗</cp:lastModifiedBy>
  <dcterms:modified xsi:type="dcterms:W3CDTF">2026-02-09T06:14:12Z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49375ABDAC384F1AB85B5567558DC8B2_12</vt:lpwstr>
  </property>
  <property fmtid="{D5CDD505-2E9C-101B-9397-08002B2CF9AE}" pid="4" name="KSOTemplateDocerSaveRecord">
    <vt:lpwstr>eyJoZGlkIjoiMjljNjk0N2RhMTc0NzI3ZTQwZWEyZWMyMzA2NzliMDQiLCJ1c2VySWQiOiI3ODUwOTA2ODcifQ==</vt:lpwstr>
  </property>
</Properties>
</file>