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FDA00">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10312400</wp:posOffset>
            </wp:positionH>
            <wp:positionV relativeFrom="topMargin">
              <wp:posOffset>10731500</wp:posOffset>
            </wp:positionV>
            <wp:extent cx="495300" cy="3429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95300" cy="3429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年江苏省盐城市中考道德与法治真题</w:t>
      </w:r>
    </w:p>
    <w:p w14:paraId="637DFDCF">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38AB00D">
      <w:pPr>
        <w:spacing w:line="285" w:lineRule="auto"/>
        <w:jc w:val="left"/>
      </w:pPr>
      <w:r>
        <w:rPr>
          <w:rFonts w:ascii="宋体" w:hAnsi="宋体" w:eastAsia="宋体" w:cs="宋体"/>
          <w:b/>
          <w:color w:val="auto"/>
          <w:sz w:val="24"/>
        </w:rPr>
        <w:t>一、单项选择题：每小题只有一个选项最符合题意。本题共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分，计</w:t>
      </w:r>
      <w:r>
        <w:rPr>
          <w:rFonts w:ascii="Times New Roman" w:hAnsi="Times New Roman" w:eastAsia="Times New Roman" w:cs="Times New Roman"/>
          <w:b/>
          <w:color w:val="auto"/>
          <w:sz w:val="24"/>
        </w:rPr>
        <w:t>23</w:t>
      </w:r>
      <w:r>
        <w:rPr>
          <w:rFonts w:ascii="宋体" w:hAnsi="宋体" w:eastAsia="宋体" w:cs="宋体"/>
          <w:b/>
          <w:color w:val="auto"/>
          <w:sz w:val="24"/>
        </w:rPr>
        <w:t>分。</w:t>
      </w:r>
    </w:p>
    <w:p w14:paraId="77587027">
      <w:pPr>
        <w:spacing w:line="360" w:lineRule="auto"/>
        <w:jc w:val="left"/>
      </w:pPr>
      <w:r>
        <w:rPr>
          <w:color w:val="auto"/>
        </w:rPr>
        <w:t xml:space="preserve">1. </w:t>
      </w:r>
      <w:r>
        <w:rPr>
          <w:rFonts w:ascii="宋体" w:hAnsi="宋体" w:eastAsia="宋体" w:cs="宋体"/>
          <w:color w:val="auto"/>
        </w:rPr>
        <w:t>孔子生逢乱世，却为恢复有道</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社会秩序而周游列国，至今他“知其不可而为之”的精神仍然激励着我们（</w:t>
      </w:r>
      <w:r>
        <w:rPr>
          <w:rFonts w:ascii="Times New Roman" w:hAnsi="Times New Roman" w:eastAsia="Times New Roman" w:cs="Times New Roman"/>
          <w:color w:val="auto"/>
        </w:rPr>
        <w:t xml:space="preserve">    </w:t>
      </w:r>
      <w:r>
        <w:rPr>
          <w:rFonts w:ascii="宋体" w:hAnsi="宋体" w:eastAsia="宋体" w:cs="宋体"/>
          <w:color w:val="auto"/>
        </w:rPr>
        <w:t>）</w:t>
      </w:r>
    </w:p>
    <w:p w14:paraId="7CAFC574">
      <w:pPr>
        <w:tabs>
          <w:tab w:val="left" w:pos="4873"/>
        </w:tabs>
        <w:spacing w:line="360" w:lineRule="auto"/>
        <w:jc w:val="left"/>
        <w:textAlignment w:val="center"/>
        <w:rPr>
          <w:color w:val="auto"/>
        </w:rPr>
      </w:pPr>
      <w:r>
        <w:t xml:space="preserve">A. </w:t>
      </w:r>
      <w:r>
        <w:rPr>
          <w:rFonts w:ascii="宋体" w:hAnsi="宋体" w:eastAsia="宋体" w:cs="宋体"/>
          <w:color w:val="auto"/>
        </w:rPr>
        <w:t>心怀善意，关爱他人</w:t>
      </w:r>
      <w:r>
        <w:tab/>
      </w:r>
      <w:r>
        <w:t xml:space="preserve">B. </w:t>
      </w:r>
      <w:r>
        <w:rPr>
          <w:rFonts w:ascii="宋体" w:hAnsi="宋体" w:eastAsia="宋体" w:cs="宋体"/>
          <w:color w:val="auto"/>
        </w:rPr>
        <w:t>坚持自我，彰显个性</w:t>
      </w:r>
    </w:p>
    <w:p w14:paraId="4493C35C">
      <w:pPr>
        <w:tabs>
          <w:tab w:val="left" w:pos="4873"/>
        </w:tabs>
        <w:spacing w:line="360" w:lineRule="auto"/>
        <w:jc w:val="left"/>
        <w:textAlignment w:val="center"/>
        <w:rPr>
          <w:color w:val="000000"/>
        </w:rPr>
      </w:pPr>
      <w:r>
        <w:t xml:space="preserve">C. </w:t>
      </w:r>
      <w:r>
        <w:rPr>
          <w:rFonts w:ascii="宋体" w:hAnsi="宋体" w:eastAsia="宋体" w:cs="宋体"/>
          <w:color w:val="auto"/>
        </w:rPr>
        <w:t>谦虚谨慎，不骄不躁</w:t>
      </w:r>
      <w:r>
        <w:tab/>
      </w:r>
      <w:r>
        <w:t xml:space="preserve">D. </w:t>
      </w:r>
      <w:r>
        <w:rPr>
          <w:rFonts w:ascii="宋体" w:hAnsi="宋体" w:eastAsia="宋体" w:cs="宋体"/>
          <w:color w:val="auto"/>
        </w:rPr>
        <w:t>胸怀家国，勇毅担当</w:t>
      </w:r>
    </w:p>
    <w:p w14:paraId="4CE1D096">
      <w:pPr>
        <w:spacing w:line="360" w:lineRule="auto"/>
        <w:jc w:val="left"/>
        <w:textAlignment w:val="center"/>
        <w:rPr>
          <w:color w:val="000000"/>
        </w:rPr>
      </w:pPr>
      <w:r>
        <w:rPr>
          <w:color w:val="000000"/>
        </w:rPr>
        <w:t xml:space="preserve">2. </w:t>
      </w:r>
      <w:r>
        <w:rPr>
          <w:rFonts w:ascii="宋体" w:hAnsi="宋体" w:eastAsia="宋体" w:cs="宋体"/>
          <w:color w:val="000000"/>
        </w:rPr>
        <w:t>如图漫画的寓意是（</w:t>
      </w:r>
      <w:r>
        <w:rPr>
          <w:rFonts w:ascii="Times New Roman" w:hAnsi="Times New Roman" w:eastAsia="Times New Roman" w:cs="Times New Roman"/>
          <w:color w:val="000000"/>
        </w:rPr>
        <w:t xml:space="preserve">    </w:t>
      </w:r>
      <w:r>
        <w:rPr>
          <w:rFonts w:ascii="宋体" w:hAnsi="宋体" w:eastAsia="宋体" w:cs="宋体"/>
          <w:color w:val="000000"/>
        </w:rPr>
        <w:t>）</w:t>
      </w:r>
    </w:p>
    <w:p w14:paraId="755E5C2E">
      <w:pPr>
        <w:spacing w:line="360" w:lineRule="auto"/>
        <w:jc w:val="left"/>
        <w:textAlignment w:val="center"/>
        <w:rPr>
          <w:color w:val="000000"/>
        </w:rPr>
      </w:pPr>
      <w:r>
        <w:rPr>
          <w:color w:val="000000"/>
        </w:rPr>
        <w:drawing>
          <wp:inline distT="0" distB="0" distL="114300" distR="114300">
            <wp:extent cx="1076325" cy="18478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76325" cy="1847850"/>
                    </a:xfrm>
                    <a:prstGeom prst="rect">
                      <a:avLst/>
                    </a:prstGeom>
                  </pic:spPr>
                </pic:pic>
              </a:graphicData>
            </a:graphic>
          </wp:inline>
        </w:drawing>
      </w:r>
    </w:p>
    <w:p w14:paraId="7B71A53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接纳自我，学会欣赏自己</w:t>
      </w:r>
      <w:r>
        <w:rPr>
          <w:color w:val="000000"/>
        </w:rPr>
        <w:tab/>
      </w:r>
      <w:r>
        <w:rPr>
          <w:color w:val="000000"/>
        </w:rPr>
        <w:t xml:space="preserve">B. </w:t>
      </w:r>
      <w:r>
        <w:rPr>
          <w:rFonts w:ascii="宋体" w:hAnsi="宋体" w:eastAsia="宋体" w:cs="宋体"/>
          <w:color w:val="000000"/>
        </w:rPr>
        <w:t>乐于助人，参加志愿服务</w:t>
      </w:r>
    </w:p>
    <w:p w14:paraId="028CDD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热爱学习，读书点亮生命</w:t>
      </w:r>
      <w:r>
        <w:rPr>
          <w:color w:val="000000"/>
        </w:rPr>
        <w:tab/>
      </w:r>
      <w:r>
        <w:rPr>
          <w:color w:val="000000"/>
        </w:rPr>
        <w:t xml:space="preserve">D. </w:t>
      </w:r>
      <w:r>
        <w:rPr>
          <w:rFonts w:ascii="宋体" w:hAnsi="宋体" w:eastAsia="宋体" w:cs="宋体"/>
          <w:color w:val="000000"/>
        </w:rPr>
        <w:t>文明有礼，遵守社交礼仪</w:t>
      </w:r>
    </w:p>
    <w:p w14:paraId="750508AA">
      <w:pPr>
        <w:spacing w:line="360" w:lineRule="auto"/>
        <w:jc w:val="left"/>
        <w:textAlignment w:val="center"/>
        <w:rPr>
          <w:color w:val="000000"/>
        </w:rPr>
      </w:pPr>
      <w:r>
        <w:rPr>
          <w:color w:val="000000"/>
        </w:rPr>
        <w:t xml:space="preserve">3. </w:t>
      </w:r>
      <w:r>
        <w:rPr>
          <w:rFonts w:ascii="宋体" w:hAnsi="宋体" w:eastAsia="宋体" w:cs="宋体"/>
          <w:color w:val="000000"/>
        </w:rPr>
        <w:t>《未成年人网络保护条例》要求加强未成年人网络沉迷防治工作。相关网络平台及时推出“青少年模式”，通过过滤不良信息、限制使用时间、规范使用时段等方式保护未成年人文明上网、绿色上网。该模式（</w:t>
      </w:r>
      <w:r>
        <w:rPr>
          <w:rFonts w:ascii="Times New Roman" w:hAnsi="Times New Roman" w:eastAsia="Times New Roman" w:cs="Times New Roman"/>
          <w:color w:val="000000"/>
        </w:rPr>
        <w:t xml:space="preserve">    </w:t>
      </w:r>
      <w:r>
        <w:rPr>
          <w:rFonts w:ascii="宋体" w:hAnsi="宋体" w:eastAsia="宋体" w:cs="宋体"/>
          <w:color w:val="000000"/>
        </w:rPr>
        <w:t>）</w:t>
      </w:r>
    </w:p>
    <w:p w14:paraId="1317854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促进未成年人参与民主生活</w:t>
      </w:r>
      <w:r>
        <w:rPr>
          <w:color w:val="000000"/>
        </w:rPr>
        <w:tab/>
      </w:r>
      <w:r>
        <w:rPr>
          <w:color w:val="000000"/>
        </w:rPr>
        <w:t xml:space="preserve">B. </w:t>
      </w:r>
      <w:r>
        <w:rPr>
          <w:rFonts w:ascii="宋体" w:hAnsi="宋体" w:eastAsia="宋体" w:cs="宋体"/>
          <w:color w:val="000000"/>
        </w:rPr>
        <w:t>提醒未成年人慎重结交网友</w:t>
      </w:r>
    </w:p>
    <w:p w14:paraId="1D7BB26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加强未成年人心理健康教育</w:t>
      </w:r>
      <w:r>
        <w:rPr>
          <w:color w:val="000000"/>
        </w:rPr>
        <w:tab/>
      </w:r>
      <w:r>
        <w:rPr>
          <w:color w:val="000000"/>
        </w:rPr>
        <w:t xml:space="preserve">D. </w:t>
      </w:r>
      <w:r>
        <w:rPr>
          <w:rFonts w:ascii="宋体" w:hAnsi="宋体" w:eastAsia="宋体" w:cs="宋体"/>
          <w:color w:val="000000"/>
        </w:rPr>
        <w:t>引导未成年人合理利用网络</w:t>
      </w:r>
    </w:p>
    <w:p w14:paraId="74B31E4D">
      <w:pPr>
        <w:spacing w:line="360" w:lineRule="auto"/>
        <w:jc w:val="left"/>
        <w:textAlignment w:val="center"/>
        <w:rPr>
          <w:color w:val="000000"/>
        </w:rPr>
      </w:pPr>
      <w:r>
        <w:rPr>
          <w:color w:val="000000"/>
        </w:rPr>
        <w:t xml:space="preserve">4. </w:t>
      </w:r>
      <w:r>
        <w:rPr>
          <w:rFonts w:ascii="宋体" w:hAnsi="宋体" w:eastAsia="宋体" w:cs="宋体"/>
          <w:color w:val="000000"/>
        </w:rPr>
        <w:t>盐城市某街道组织网格员走进小区，开展禁止电动车入楼消防安全宣传活动，宣讲相关法律法规，维护高层住宅安全。假如你是该小区居民，你应该（</w:t>
      </w:r>
      <w:r>
        <w:rPr>
          <w:rFonts w:ascii="Times New Roman" w:hAnsi="Times New Roman" w:eastAsia="Times New Roman" w:cs="Times New Roman"/>
          <w:color w:val="000000"/>
        </w:rPr>
        <w:t xml:space="preserve">    </w:t>
      </w:r>
      <w:r>
        <w:rPr>
          <w:rFonts w:ascii="宋体" w:hAnsi="宋体" w:eastAsia="宋体" w:cs="宋体"/>
          <w:color w:val="000000"/>
        </w:rPr>
        <w:t>）</w:t>
      </w:r>
    </w:p>
    <w:p w14:paraId="35422AC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积极参与宪法修订</w:t>
      </w:r>
      <w:r>
        <w:rPr>
          <w:color w:val="000000"/>
        </w:rPr>
        <w:tab/>
      </w:r>
      <w:r>
        <w:rPr>
          <w:color w:val="000000"/>
        </w:rPr>
        <w:t xml:space="preserve">B. </w:t>
      </w:r>
      <w:r>
        <w:rPr>
          <w:rFonts w:ascii="宋体" w:hAnsi="宋体" w:eastAsia="宋体" w:cs="宋体"/>
          <w:color w:val="000000"/>
        </w:rPr>
        <w:t>合理规划出行路线</w:t>
      </w:r>
    </w:p>
    <w:p w14:paraId="36E79DB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自觉遵守法律规范</w:t>
      </w:r>
      <w:r>
        <w:rPr>
          <w:color w:val="000000"/>
        </w:rPr>
        <w:tab/>
      </w:r>
      <w:r>
        <w:rPr>
          <w:color w:val="000000"/>
        </w:rPr>
        <w:t xml:space="preserve">D. </w:t>
      </w:r>
      <w:r>
        <w:rPr>
          <w:rFonts w:ascii="宋体" w:hAnsi="宋体" w:eastAsia="宋体" w:cs="宋体"/>
          <w:color w:val="000000"/>
        </w:rPr>
        <w:t>尊重他人停车行为</w:t>
      </w:r>
    </w:p>
    <w:p w14:paraId="39B303E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2024</w:t>
      </w:r>
      <w:r>
        <w:rPr>
          <w:rFonts w:ascii="宋体" w:hAnsi="宋体" w:eastAsia="宋体" w:cs="宋体"/>
          <w:color w:val="000000"/>
        </w:rPr>
        <w:t>年“新时代江苏好少年”夏丽蕊多才多艺，积极参与优秀传统文化进校园、进社区活动，用实际行动引领着身边</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同学见贤思齐，向上向善。由此可见（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5900F6C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少年的梦想与个人的人生目标相连</w:t>
      </w:r>
      <w:r>
        <w:rPr>
          <w:color w:val="000000"/>
        </w:rPr>
        <w:tab/>
      </w:r>
      <w:r>
        <w:rPr>
          <w:color w:val="000000"/>
        </w:rPr>
        <w:t xml:space="preserve">B. </w:t>
      </w:r>
      <w:r>
        <w:rPr>
          <w:rFonts w:ascii="宋体" w:hAnsi="宋体" w:eastAsia="宋体" w:cs="宋体"/>
          <w:color w:val="000000"/>
        </w:rPr>
        <w:t>友谊和竞争总是相辅相成相得益彰</w:t>
      </w:r>
    </w:p>
    <w:p w14:paraId="4076481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好的榜样给予我们自我完善的力量</w:t>
      </w:r>
      <w:r>
        <w:rPr>
          <w:color w:val="000000"/>
        </w:rPr>
        <w:tab/>
      </w:r>
      <w:r>
        <w:rPr>
          <w:color w:val="000000"/>
        </w:rPr>
        <w:t xml:space="preserve">D. </w:t>
      </w:r>
      <w:r>
        <w:rPr>
          <w:rFonts w:ascii="宋体" w:hAnsi="宋体" w:eastAsia="宋体" w:cs="宋体"/>
          <w:color w:val="000000"/>
        </w:rPr>
        <w:t>每个人都能从社会中获得物质支持</w:t>
      </w:r>
    </w:p>
    <w:p w14:paraId="3731C6C1">
      <w:pPr>
        <w:spacing w:line="360" w:lineRule="auto"/>
        <w:jc w:val="left"/>
        <w:textAlignment w:val="center"/>
        <w:rPr>
          <w:color w:val="000000"/>
        </w:rPr>
      </w:pPr>
      <w:r>
        <w:rPr>
          <w:color w:val="000000"/>
        </w:rPr>
        <w:t xml:space="preserve">6. </w:t>
      </w:r>
      <w:r>
        <w:rPr>
          <w:rFonts w:ascii="宋体" w:hAnsi="宋体" w:eastAsia="宋体" w:cs="宋体"/>
          <w:color w:val="000000"/>
        </w:rPr>
        <w:t>殷某因某软件公司将其声音智能化处理后对外出售牵利，将软件公司告上注庭，法院判决该公司赔礼道歉并赔偿损失，殷某</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行为告诉我们（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8722DE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权利和义务是相统一的</w:t>
      </w:r>
      <w:r>
        <w:rPr>
          <w:color w:val="000000"/>
        </w:rPr>
        <w:tab/>
      </w:r>
      <w:r>
        <w:rPr>
          <w:color w:val="000000"/>
        </w:rPr>
        <w:t xml:space="preserve">B. </w:t>
      </w:r>
      <w:r>
        <w:rPr>
          <w:rFonts w:ascii="宋体" w:hAnsi="宋体" w:eastAsia="宋体" w:cs="宋体"/>
          <w:color w:val="000000"/>
        </w:rPr>
        <w:t>人人守法已成为全民共识</w:t>
      </w:r>
    </w:p>
    <w:p w14:paraId="46F482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诉讼是维权的最佳选择</w:t>
      </w:r>
      <w:r>
        <w:rPr>
          <w:color w:val="000000"/>
        </w:rPr>
        <w:tab/>
      </w:r>
      <w:r>
        <w:rPr>
          <w:color w:val="000000"/>
        </w:rPr>
        <w:t xml:space="preserve">D. </w:t>
      </w:r>
      <w:r>
        <w:rPr>
          <w:rFonts w:ascii="宋体" w:hAnsi="宋体" w:eastAsia="宋体" w:cs="宋体"/>
          <w:color w:val="000000"/>
        </w:rPr>
        <w:t>应依法维护自身合法权益</w:t>
      </w:r>
    </w:p>
    <w:p w14:paraId="7B4FB318">
      <w:pPr>
        <w:spacing w:line="360" w:lineRule="auto"/>
        <w:jc w:val="left"/>
        <w:textAlignment w:val="center"/>
        <w:rPr>
          <w:color w:val="000000"/>
        </w:rPr>
      </w:pPr>
      <w:r>
        <w:rPr>
          <w:color w:val="000000"/>
        </w:rPr>
        <w:t xml:space="preserve">7. </w:t>
      </w:r>
      <w:r>
        <w:rPr>
          <w:rFonts w:ascii="宋体" w:hAnsi="宋体" w:eastAsia="宋体" w:cs="宋体"/>
          <w:color w:val="000000"/>
        </w:rPr>
        <w:t>下列举措反映的共同主题是（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30"/>
      </w:tblGrid>
      <w:tr w14:paraId="173AD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2C590">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月，国家发改委等部门发布《加快“以竹代塑”发展三年行动计划》。鼓励公共机构积极采购相关“以竹代塑”产品。</w:t>
            </w:r>
          </w:p>
          <w:p w14:paraId="15D30DF4">
            <w:pPr>
              <w:spacing w:line="360" w:lineRule="auto"/>
              <w:ind w:firstLine="420"/>
              <w:jc w:val="left"/>
              <w:textAlignment w:val="center"/>
              <w:rPr>
                <w:color w:val="000000"/>
              </w:rPr>
            </w:pPr>
            <w:r>
              <w:rPr>
                <w:rFonts w:ascii="宋体" w:hAnsi="宋体" w:eastAsia="宋体" w:cs="宋体"/>
                <w:color w:val="000000"/>
              </w:rPr>
              <w:t>近年来，盐城市围绕能源清洁化、设施低碳化、管理智想化等要求，在今春启动先试低（零）碳产业园建设。</w:t>
            </w:r>
          </w:p>
        </w:tc>
      </w:tr>
    </w:tbl>
    <w:p w14:paraId="5A4EC51F">
      <w:pPr>
        <w:spacing w:line="360" w:lineRule="auto"/>
        <w:jc w:val="left"/>
        <w:textAlignment w:val="center"/>
        <w:rPr>
          <w:color w:val="000000"/>
        </w:rPr>
      </w:pPr>
    </w:p>
    <w:p w14:paraId="13F7D6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坚持绿色发展</w:t>
      </w:r>
      <w:r>
        <w:rPr>
          <w:color w:val="000000"/>
        </w:rPr>
        <w:tab/>
      </w:r>
      <w:r>
        <w:rPr>
          <w:color w:val="000000"/>
        </w:rPr>
        <w:t xml:space="preserve">B. </w:t>
      </w:r>
      <w:r>
        <w:rPr>
          <w:rFonts w:ascii="宋体" w:hAnsi="宋体" w:eastAsia="宋体" w:cs="宋体"/>
          <w:color w:val="000000"/>
        </w:rPr>
        <w:t>共享发展成果</w:t>
      </w:r>
      <w:r>
        <w:rPr>
          <w:color w:val="000000"/>
        </w:rPr>
        <w:tab/>
      </w:r>
      <w:r>
        <w:rPr>
          <w:color w:val="000000"/>
        </w:rPr>
        <w:t xml:space="preserve">C. </w:t>
      </w:r>
      <w:r>
        <w:rPr>
          <w:rFonts w:ascii="宋体" w:hAnsi="宋体" w:eastAsia="宋体" w:cs="宋体"/>
          <w:color w:val="000000"/>
        </w:rPr>
        <w:t>追求公平正义</w:t>
      </w:r>
      <w:r>
        <w:rPr>
          <w:color w:val="000000"/>
        </w:rPr>
        <w:tab/>
      </w:r>
      <w:r>
        <w:rPr>
          <w:color w:val="000000"/>
        </w:rPr>
        <w:t xml:space="preserve">D. </w:t>
      </w:r>
      <w:r>
        <w:rPr>
          <w:rFonts w:ascii="宋体" w:hAnsi="宋体" w:eastAsia="宋体" w:cs="宋体"/>
          <w:color w:val="000000"/>
        </w:rPr>
        <w:t>构筑中国价值</w:t>
      </w:r>
    </w:p>
    <w:p w14:paraId="68B85A94">
      <w:pPr>
        <w:spacing w:line="360" w:lineRule="auto"/>
        <w:jc w:val="left"/>
        <w:textAlignment w:val="center"/>
        <w:rPr>
          <w:color w:val="000000"/>
        </w:rPr>
      </w:pPr>
      <w:r>
        <w:rPr>
          <w:color w:val="000000"/>
        </w:rPr>
        <w:t xml:space="preserve">8. </w:t>
      </w:r>
      <w:r>
        <w:rPr>
          <w:rFonts w:ascii="宋体" w:hAnsi="宋体" w:eastAsia="宋体" w:cs="宋体"/>
          <w:color w:val="000000"/>
        </w:rPr>
        <w:t>在十四届全国人大常委会第九次会议上，国务院提交了关于</w:t>
      </w:r>
      <w:r>
        <w:rPr>
          <w:rFonts w:ascii="Times New Roman" w:hAnsi="Times New Roman" w:eastAsia="Times New Roman" w:cs="Times New Roman"/>
          <w:color w:val="000000"/>
        </w:rPr>
        <w:t>2023</w:t>
      </w:r>
      <w:r>
        <w:rPr>
          <w:rFonts w:ascii="宋体" w:hAnsi="宋体" w:eastAsia="宋体" w:cs="宋体"/>
          <w:color w:val="000000"/>
        </w:rPr>
        <w:t>年度环境状况和环境保护目标完成情况的报告。材料表明（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679C0C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行政机关坚持严格规范文明执法</w:t>
      </w:r>
      <w:r>
        <w:rPr>
          <w:color w:val="000000"/>
        </w:rPr>
        <w:tab/>
      </w:r>
      <w:r>
        <w:rPr>
          <w:color w:val="000000"/>
        </w:rPr>
        <w:t xml:space="preserve">B. </w:t>
      </w:r>
      <w:r>
        <w:rPr>
          <w:rFonts w:ascii="宋体" w:hAnsi="宋体" w:eastAsia="宋体" w:cs="宋体"/>
          <w:color w:val="000000"/>
        </w:rPr>
        <w:t>全国人大常委会行使了立法权</w:t>
      </w:r>
    </w:p>
    <w:p w14:paraId="3919798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政府接受人大的监督对人大负责</w:t>
      </w:r>
      <w:r>
        <w:rPr>
          <w:color w:val="000000"/>
        </w:rPr>
        <w:tab/>
      </w:r>
      <w:r>
        <w:rPr>
          <w:color w:val="000000"/>
        </w:rPr>
        <w:t xml:space="preserve">D. </w:t>
      </w:r>
      <w:r>
        <w:rPr>
          <w:rFonts w:ascii="宋体" w:hAnsi="宋体" w:eastAsia="宋体" w:cs="宋体"/>
          <w:color w:val="000000"/>
        </w:rPr>
        <w:t>人大与政府互相配合互相制约</w:t>
      </w:r>
    </w:p>
    <w:p w14:paraId="02A7EEAB">
      <w:pPr>
        <w:spacing w:line="360" w:lineRule="auto"/>
        <w:jc w:val="left"/>
        <w:textAlignment w:val="center"/>
        <w:rPr>
          <w:color w:val="000000"/>
        </w:rPr>
      </w:pPr>
      <w:r>
        <w:rPr>
          <w:color w:val="000000"/>
        </w:rPr>
        <w:t xml:space="preserve">9. </w:t>
      </w:r>
      <w:r>
        <w:rPr>
          <w:rFonts w:ascii="宋体" w:hAnsi="宋体" w:eastAsia="宋体" w:cs="宋体"/>
          <w:color w:val="000000"/>
        </w:rPr>
        <w:t>近年来，江苏积极打造南京都市圈、淮海经济区、苏锡常都市圈，深入推动长三角一体化、宁镇扬一体化发展。这样做（</w:t>
      </w:r>
      <w:r>
        <w:rPr>
          <w:rFonts w:ascii="Times New Roman" w:hAnsi="Times New Roman" w:eastAsia="Times New Roman" w:cs="Times New Roman"/>
          <w:color w:val="000000"/>
        </w:rPr>
        <w:t xml:space="preserve">    </w:t>
      </w:r>
      <w:r>
        <w:rPr>
          <w:rFonts w:ascii="宋体" w:hAnsi="宋体" w:eastAsia="宋体" w:cs="宋体"/>
          <w:color w:val="000000"/>
        </w:rPr>
        <w:t>）</w:t>
      </w:r>
    </w:p>
    <w:p w14:paraId="26B7CC1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落实了健康中国战略</w:t>
      </w:r>
      <w:r>
        <w:rPr>
          <w:color w:val="000000"/>
        </w:rPr>
        <w:tab/>
      </w:r>
      <w:r>
        <w:rPr>
          <w:color w:val="000000"/>
        </w:rPr>
        <w:t xml:space="preserve">B. </w:t>
      </w:r>
      <w:r>
        <w:rPr>
          <w:rFonts w:ascii="宋体" w:hAnsi="宋体" w:eastAsia="宋体" w:cs="宋体"/>
          <w:color w:val="000000"/>
        </w:rPr>
        <w:t>推动了区域协调发展</w:t>
      </w:r>
    </w:p>
    <w:p w14:paraId="1F1E2E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完善了社会保障体系</w:t>
      </w:r>
      <w:r>
        <w:rPr>
          <w:color w:val="000000"/>
        </w:rPr>
        <w:tab/>
      </w:r>
      <w:r>
        <w:rPr>
          <w:color w:val="000000"/>
        </w:rPr>
        <w:t xml:space="preserve">D. </w:t>
      </w:r>
      <w:r>
        <w:rPr>
          <w:rFonts w:ascii="宋体" w:hAnsi="宋体" w:eastAsia="宋体" w:cs="宋体"/>
          <w:color w:val="000000"/>
        </w:rPr>
        <w:t>实施了兴边富民行动</w:t>
      </w:r>
    </w:p>
    <w:p w14:paraId="6B57ECD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年国家市场监管总局开展“铁拳”行动，依法打击食品非法添加、假冒伪劣化肥、假冒知名品牌等八类违法行为，向社会公开曝光</w:t>
      </w:r>
      <w:r>
        <w:rPr>
          <w:rFonts w:ascii="Times New Roman" w:hAnsi="Times New Roman" w:eastAsia="Times New Roman" w:cs="Times New Roman"/>
          <w:color w:val="000000"/>
        </w:rPr>
        <w:t>1034</w:t>
      </w:r>
      <w:r>
        <w:rPr>
          <w:rFonts w:ascii="宋体" w:hAnsi="宋体" w:eastAsia="宋体" w:cs="宋体"/>
          <w:color w:val="000000"/>
        </w:rPr>
        <w:t>起典型案件。“铁拳”行动体现了（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583F8F76">
      <w:pPr>
        <w:spacing w:line="360" w:lineRule="auto"/>
        <w:jc w:val="left"/>
        <w:textAlignment w:val="center"/>
        <w:rPr>
          <w:color w:val="000000"/>
        </w:rPr>
      </w:pPr>
      <w:r>
        <w:rPr>
          <w:color w:val="000000"/>
        </w:rPr>
        <w:t xml:space="preserve">A. </w:t>
      </w:r>
      <w:r>
        <w:rPr>
          <w:rFonts w:ascii="宋体" w:hAnsi="宋体" w:eastAsia="宋体" w:cs="宋体"/>
          <w:color w:val="000000"/>
        </w:rPr>
        <w:t>法治是发展市场经济</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基本保障</w:t>
      </w:r>
    </w:p>
    <w:p w14:paraId="1A2C15E0">
      <w:pPr>
        <w:spacing w:line="360" w:lineRule="auto"/>
        <w:jc w:val="left"/>
        <w:textAlignment w:val="center"/>
        <w:rPr>
          <w:color w:val="000000"/>
        </w:rPr>
      </w:pPr>
      <w:r>
        <w:rPr>
          <w:color w:val="000000"/>
        </w:rPr>
        <w:t xml:space="preserve">B. </w:t>
      </w:r>
      <w:r>
        <w:rPr>
          <w:rFonts w:ascii="宋体" w:hAnsi="宋体" w:eastAsia="宋体" w:cs="宋体"/>
          <w:color w:val="000000"/>
        </w:rPr>
        <w:t>公民的政治权利得到有效维护</w:t>
      </w:r>
    </w:p>
    <w:p w14:paraId="5D0332F3">
      <w:pPr>
        <w:spacing w:line="360" w:lineRule="auto"/>
        <w:jc w:val="left"/>
        <w:textAlignment w:val="center"/>
        <w:rPr>
          <w:color w:val="000000"/>
        </w:rPr>
      </w:pPr>
      <w:r>
        <w:rPr>
          <w:color w:val="000000"/>
        </w:rPr>
        <w:t xml:space="preserve">C. </w:t>
      </w:r>
      <w:r>
        <w:rPr>
          <w:rFonts w:ascii="宋体" w:hAnsi="宋体" w:eastAsia="宋体" w:cs="宋体"/>
          <w:color w:val="000000"/>
        </w:rPr>
        <w:t>国家权力的行使受到法律的约束</w:t>
      </w:r>
    </w:p>
    <w:p w14:paraId="532BC686">
      <w:pPr>
        <w:spacing w:line="360" w:lineRule="auto"/>
        <w:jc w:val="left"/>
        <w:textAlignment w:val="center"/>
        <w:rPr>
          <w:color w:val="000000"/>
        </w:rPr>
      </w:pPr>
      <w:r>
        <w:rPr>
          <w:color w:val="000000"/>
        </w:rPr>
        <w:t xml:space="preserve">D. </w:t>
      </w:r>
      <w:r>
        <w:rPr>
          <w:rFonts w:ascii="宋体" w:hAnsi="宋体" w:eastAsia="宋体" w:cs="宋体"/>
          <w:color w:val="000000"/>
        </w:rPr>
        <w:t>司法机关依法独立行使司法权</w:t>
      </w:r>
    </w:p>
    <w:p w14:paraId="2387D4D3">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2024</w:t>
      </w:r>
      <w:r>
        <w:rPr>
          <w:rFonts w:ascii="宋体" w:hAnsi="宋体" w:eastAsia="宋体" w:cs="宋体"/>
          <w:color w:val="000000"/>
        </w:rPr>
        <w:t>年是总体国家安全观提出</w:t>
      </w:r>
      <w:r>
        <w:rPr>
          <w:rFonts w:ascii="Times New Roman" w:hAnsi="Times New Roman" w:eastAsia="Times New Roman" w:cs="Times New Roman"/>
          <w:color w:val="000000"/>
        </w:rPr>
        <w:t>10</w:t>
      </w:r>
      <w:r>
        <w:rPr>
          <w:rFonts w:ascii="宋体" w:hAnsi="宋体" w:eastAsia="宋体" w:cs="宋体"/>
          <w:color w:val="000000"/>
        </w:rPr>
        <w:t>周年。民无防不安，国无防不立，下列属于践行总体国家安全观的是（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8478EB6">
      <w:pPr>
        <w:spacing w:line="360" w:lineRule="auto"/>
        <w:jc w:val="left"/>
        <w:textAlignment w:val="center"/>
        <w:rPr>
          <w:color w:val="000000"/>
        </w:rPr>
      </w:pPr>
      <w:r>
        <w:rPr>
          <w:rFonts w:ascii="宋体" w:hAnsi="宋体" w:eastAsia="宋体" w:cs="宋体"/>
          <w:color w:val="000000"/>
        </w:rPr>
        <w:t>①树立大食物观，端稳端牢中国饭碗</w:t>
      </w:r>
      <w:r>
        <w:rPr>
          <w:rFonts w:ascii="Times New Roman" w:hAnsi="Times New Roman" w:eastAsia="Times New Roman" w:cs="Times New Roman"/>
          <w:color w:val="000000"/>
        </w:rPr>
        <w:t xml:space="preserve">    </w:t>
      </w:r>
      <w:r>
        <w:rPr>
          <w:rFonts w:ascii="宋体" w:hAnsi="宋体" w:eastAsia="宋体" w:cs="宋体"/>
          <w:color w:val="000000"/>
        </w:rPr>
        <w:t>②积极报名参军，与朋友分享军队照</w:t>
      </w:r>
    </w:p>
    <w:p w14:paraId="3C95D79D">
      <w:pPr>
        <w:spacing w:line="360" w:lineRule="auto"/>
        <w:jc w:val="left"/>
        <w:textAlignment w:val="center"/>
        <w:rPr>
          <w:color w:val="000000"/>
        </w:rPr>
      </w:pPr>
      <w:r>
        <w:rPr>
          <w:rFonts w:ascii="宋体" w:hAnsi="宋体" w:eastAsia="宋体" w:cs="宋体"/>
          <w:color w:val="000000"/>
        </w:rPr>
        <w:t>③发展银发产业，护佑人民幸福晚年</w:t>
      </w:r>
      <w:r>
        <w:rPr>
          <w:rFonts w:ascii="Times New Roman" w:hAnsi="Times New Roman" w:eastAsia="Times New Roman" w:cs="Times New Roman"/>
          <w:color w:val="000000"/>
        </w:rPr>
        <w:t xml:space="preserve">    </w:t>
      </w:r>
      <w:r>
        <w:rPr>
          <w:rFonts w:ascii="宋体" w:hAnsi="宋体" w:eastAsia="宋体" w:cs="宋体"/>
          <w:color w:val="000000"/>
        </w:rPr>
        <w:t>④提高警戒意识，防范购买间谍器材</w:t>
      </w:r>
    </w:p>
    <w:p w14:paraId="5BC67C4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A4CADCC">
      <w:pPr>
        <w:spacing w:line="360" w:lineRule="auto"/>
        <w:jc w:val="left"/>
        <w:textAlignment w:val="center"/>
        <w:rPr>
          <w:color w:val="000000"/>
        </w:rPr>
      </w:pPr>
      <w:r>
        <w:rPr>
          <w:color w:val="000000"/>
        </w:rPr>
        <w:t xml:space="preserve">12. </w:t>
      </w:r>
      <w:r>
        <w:rPr>
          <w:rFonts w:ascii="宋体" w:hAnsi="宋体" w:eastAsia="宋体" w:cs="宋体"/>
          <w:color w:val="000000"/>
        </w:rPr>
        <w:t>多年来，“海牛”团队持续攻关，将国家的需要作为研究的方向，在“时代楷模”万步炎的带领下，为我国研发出首台深海浅地层岩芯取样钻机。这说明（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DCB272D">
      <w:pPr>
        <w:spacing w:line="360" w:lineRule="auto"/>
        <w:jc w:val="left"/>
        <w:textAlignment w:val="center"/>
        <w:rPr>
          <w:color w:val="000000"/>
        </w:rPr>
      </w:pPr>
      <w:r>
        <w:rPr>
          <w:rFonts w:ascii="宋体" w:hAnsi="宋体" w:eastAsia="宋体" w:cs="宋体"/>
          <w:color w:val="000000"/>
        </w:rPr>
        <w:t>①共同愿景能够推动集体发展</w:t>
      </w:r>
      <w:r>
        <w:rPr>
          <w:rFonts w:ascii="Times New Roman" w:hAnsi="Times New Roman" w:eastAsia="Times New Roman" w:cs="Times New Roman"/>
          <w:color w:val="000000"/>
        </w:rPr>
        <w:t xml:space="preserve">    </w:t>
      </w:r>
      <w:r>
        <w:rPr>
          <w:rFonts w:ascii="宋体" w:hAnsi="宋体" w:eastAsia="宋体" w:cs="宋体"/>
          <w:color w:val="000000"/>
        </w:rPr>
        <w:t>②国家利益为个人利益服务</w:t>
      </w:r>
    </w:p>
    <w:p w14:paraId="015E0621">
      <w:pPr>
        <w:spacing w:line="360" w:lineRule="auto"/>
        <w:jc w:val="left"/>
        <w:textAlignment w:val="center"/>
        <w:rPr>
          <w:color w:val="000000"/>
        </w:rPr>
      </w:pPr>
      <w:r>
        <w:rPr>
          <w:rFonts w:ascii="宋体" w:hAnsi="宋体" w:eastAsia="宋体" w:cs="宋体"/>
          <w:color w:val="000000"/>
        </w:rPr>
        <w:t>③人生的价值在于创造和贡献</w:t>
      </w:r>
      <w:r>
        <w:rPr>
          <w:rFonts w:ascii="Times New Roman" w:hAnsi="Times New Roman" w:eastAsia="Times New Roman" w:cs="Times New Roman"/>
          <w:color w:val="000000"/>
        </w:rPr>
        <w:t xml:space="preserve">    </w:t>
      </w:r>
      <w:r>
        <w:rPr>
          <w:rFonts w:ascii="宋体" w:hAnsi="宋体" w:eastAsia="宋体" w:cs="宋体"/>
          <w:color w:val="000000"/>
        </w:rPr>
        <w:t>④劳动者要树立职业平等观</w:t>
      </w:r>
    </w:p>
    <w:p w14:paraId="76081B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818F957">
      <w:pPr>
        <w:spacing w:line="360" w:lineRule="auto"/>
        <w:jc w:val="left"/>
        <w:textAlignment w:val="center"/>
        <w:rPr>
          <w:color w:val="000000"/>
        </w:rPr>
      </w:pPr>
      <w:r>
        <w:rPr>
          <w:color w:val="000000"/>
        </w:rPr>
        <w:t xml:space="preserve">13. </w:t>
      </w:r>
      <w:r>
        <w:rPr>
          <w:rFonts w:ascii="宋体" w:hAnsi="宋体" w:eastAsia="宋体" w:cs="宋体"/>
          <w:color w:val="000000"/>
        </w:rPr>
        <w:t>下表是</w:t>
      </w:r>
      <w:r>
        <w:rPr>
          <w:rFonts w:ascii="Times New Roman" w:hAnsi="Times New Roman" w:eastAsia="Times New Roman" w:cs="Times New Roman"/>
          <w:color w:val="000000"/>
        </w:rPr>
        <w:t>2023</w:t>
      </w:r>
      <w:r>
        <w:rPr>
          <w:rFonts w:ascii="宋体" w:hAnsi="宋体" w:eastAsia="宋体" w:cs="宋体"/>
          <w:color w:val="000000"/>
        </w:rPr>
        <w:t>年新疆经济发展部分数据统计。据此反映出我国（</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500"/>
        <w:gridCol w:w="1080"/>
        <w:gridCol w:w="1920"/>
        <w:gridCol w:w="1500"/>
      </w:tblGrid>
      <w:tr w14:paraId="0C742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E0DBE8">
            <w:pPr>
              <w:spacing w:line="360" w:lineRule="auto"/>
              <w:jc w:val="center"/>
              <w:textAlignment w:val="center"/>
              <w:rPr>
                <w:color w:val="000000"/>
              </w:rPr>
            </w:pPr>
            <w:r>
              <w:rPr>
                <w:rFonts w:ascii="宋体" w:hAnsi="宋体" w:eastAsia="宋体" w:cs="宋体"/>
                <w:color w:val="000000"/>
              </w:rPr>
              <w:t>类别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F8807">
            <w:pPr>
              <w:spacing w:line="360" w:lineRule="auto"/>
              <w:jc w:val="center"/>
              <w:textAlignment w:val="center"/>
              <w:rPr>
                <w:color w:val="000000"/>
              </w:rPr>
            </w:pPr>
            <w:r>
              <w:rPr>
                <w:rFonts w:ascii="宋体" w:hAnsi="宋体" w:eastAsia="宋体" w:cs="宋体"/>
                <w:color w:val="000000"/>
              </w:rPr>
              <w:t>地区生产总值</w:t>
            </w:r>
          </w:p>
          <w:p w14:paraId="7020B091">
            <w:pPr>
              <w:spacing w:line="360" w:lineRule="auto"/>
              <w:jc w:val="center"/>
              <w:textAlignment w:val="center"/>
              <w:rPr>
                <w:color w:val="000000"/>
              </w:rPr>
            </w:pPr>
            <w:r>
              <w:rPr>
                <w:rFonts w:ascii="宋体" w:hAnsi="宋体" w:eastAsia="宋体" w:cs="宋体"/>
                <w:color w:val="000000"/>
              </w:rPr>
              <w:t>（亿元）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9715E2">
            <w:pPr>
              <w:spacing w:line="360" w:lineRule="auto"/>
              <w:jc w:val="center"/>
              <w:textAlignment w:val="center"/>
              <w:rPr>
                <w:color w:val="000000"/>
              </w:rPr>
            </w:pPr>
            <w:r>
              <w:rPr>
                <w:rFonts w:ascii="宋体" w:hAnsi="宋体" w:eastAsia="宋体" w:cs="宋体"/>
                <w:color w:val="000000"/>
              </w:rPr>
              <w:t>旅游收入</w:t>
            </w:r>
          </w:p>
          <w:p w14:paraId="3EAB6B13">
            <w:pPr>
              <w:spacing w:line="360" w:lineRule="auto"/>
              <w:jc w:val="center"/>
              <w:textAlignment w:val="center"/>
              <w:rPr>
                <w:color w:val="000000"/>
              </w:rPr>
            </w:pPr>
            <w:r>
              <w:rPr>
                <w:rFonts w:ascii="宋体" w:hAnsi="宋体" w:eastAsia="宋体" w:cs="宋体"/>
                <w:color w:val="000000"/>
              </w:rPr>
              <w:t>（亿元）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67B15A">
            <w:pPr>
              <w:spacing w:line="360" w:lineRule="auto"/>
              <w:jc w:val="center"/>
              <w:textAlignment w:val="center"/>
              <w:rPr>
                <w:color w:val="000000"/>
              </w:rPr>
            </w:pPr>
            <w:r>
              <w:rPr>
                <w:rFonts w:ascii="宋体" w:hAnsi="宋体" w:eastAsia="宋体" w:cs="宋体"/>
                <w:color w:val="000000"/>
              </w:rPr>
              <w:t>中央财政援疆资金</w:t>
            </w:r>
          </w:p>
          <w:p w14:paraId="175D2276">
            <w:pPr>
              <w:spacing w:line="360" w:lineRule="auto"/>
              <w:jc w:val="center"/>
              <w:textAlignment w:val="center"/>
              <w:rPr>
                <w:color w:val="000000"/>
              </w:rPr>
            </w:pPr>
            <w:r>
              <w:rPr>
                <w:rFonts w:ascii="宋体" w:hAnsi="宋体" w:eastAsia="宋体" w:cs="宋体"/>
                <w:color w:val="000000"/>
              </w:rPr>
              <w:t>（亿元）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12B25F">
            <w:pPr>
              <w:spacing w:line="360" w:lineRule="auto"/>
              <w:jc w:val="center"/>
              <w:textAlignment w:val="center"/>
              <w:rPr>
                <w:color w:val="000000"/>
              </w:rPr>
            </w:pPr>
            <w:r>
              <w:rPr>
                <w:rFonts w:ascii="宋体" w:hAnsi="宋体" w:eastAsia="宋体" w:cs="宋体"/>
                <w:color w:val="000000"/>
              </w:rPr>
              <w:t>新设经营主体</w:t>
            </w:r>
          </w:p>
          <w:p w14:paraId="0C79B17C">
            <w:pPr>
              <w:spacing w:line="360" w:lineRule="auto"/>
              <w:jc w:val="center"/>
              <w:textAlignment w:val="center"/>
              <w:rPr>
                <w:color w:val="000000"/>
              </w:rPr>
            </w:pPr>
            <w:r>
              <w:rPr>
                <w:rFonts w:ascii="宋体" w:hAnsi="宋体" w:eastAsia="宋体" w:cs="宋体"/>
                <w:color w:val="000000"/>
              </w:rPr>
              <w:t>（万户）</w:t>
            </w:r>
          </w:p>
        </w:tc>
      </w:tr>
      <w:tr w14:paraId="2946A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C83B5">
            <w:pPr>
              <w:spacing w:line="360" w:lineRule="auto"/>
              <w:jc w:val="center"/>
              <w:textAlignment w:val="center"/>
              <w:rPr>
                <w:color w:val="000000"/>
              </w:rPr>
            </w:pPr>
            <w:r>
              <w:rPr>
                <w:rFonts w:ascii="宋体" w:hAnsi="宋体" w:eastAsia="宋体" w:cs="宋体"/>
                <w:color w:val="000000"/>
              </w:rPr>
              <w:t>总值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447AE0">
            <w:pPr>
              <w:spacing w:line="360" w:lineRule="auto"/>
              <w:jc w:val="center"/>
              <w:textAlignment w:val="center"/>
              <w:rPr>
                <w:color w:val="000000"/>
              </w:rPr>
            </w:pPr>
            <w:r>
              <w:rPr>
                <w:rFonts w:ascii="Times New Roman" w:hAnsi="Times New Roman" w:eastAsia="Times New Roman" w:cs="Times New Roman"/>
                <w:color w:val="000000"/>
              </w:rPr>
              <w:t>19125.91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917FDF">
            <w:pPr>
              <w:spacing w:line="360" w:lineRule="auto"/>
              <w:jc w:val="center"/>
              <w:textAlignment w:val="center"/>
              <w:rPr>
                <w:color w:val="000000"/>
              </w:rPr>
            </w:pPr>
            <w:r>
              <w:rPr>
                <w:rFonts w:ascii="Times New Roman" w:hAnsi="Times New Roman" w:eastAsia="Times New Roman" w:cs="Times New Roman"/>
                <w:color w:val="000000"/>
              </w:rPr>
              <w:t>2967.15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81492A">
            <w:pPr>
              <w:spacing w:line="360" w:lineRule="auto"/>
              <w:jc w:val="center"/>
              <w:textAlignment w:val="center"/>
              <w:rPr>
                <w:color w:val="000000"/>
              </w:rPr>
            </w:pPr>
            <w:r>
              <w:rPr>
                <w:rFonts w:ascii="Times New Roman" w:hAnsi="Times New Roman" w:eastAsia="Times New Roman" w:cs="Times New Roman"/>
                <w:color w:val="000000"/>
              </w:rPr>
              <w:t>5657.3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35D55">
            <w:pPr>
              <w:spacing w:line="360" w:lineRule="auto"/>
              <w:jc w:val="center"/>
              <w:textAlignment w:val="center"/>
              <w:rPr>
                <w:color w:val="000000"/>
              </w:rPr>
            </w:pPr>
            <w:r>
              <w:rPr>
                <w:rFonts w:ascii="Times New Roman" w:hAnsi="Times New Roman" w:eastAsia="Times New Roman" w:cs="Times New Roman"/>
                <w:color w:val="000000"/>
              </w:rPr>
              <w:t>40.9</w:t>
            </w:r>
          </w:p>
        </w:tc>
      </w:tr>
      <w:tr w14:paraId="184EB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D3AF55">
            <w:pPr>
              <w:spacing w:line="360" w:lineRule="auto"/>
              <w:jc w:val="center"/>
              <w:textAlignment w:val="center"/>
              <w:rPr>
                <w:color w:val="000000"/>
              </w:rPr>
            </w:pPr>
            <w:r>
              <w:rPr>
                <w:rFonts w:ascii="宋体" w:hAnsi="宋体" w:eastAsia="宋体" w:cs="宋体"/>
                <w:color w:val="000000"/>
              </w:rPr>
              <w:t>同比增速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282FF3">
            <w:pPr>
              <w:spacing w:line="360" w:lineRule="auto"/>
              <w:jc w:val="center"/>
              <w:textAlignment w:val="center"/>
              <w:rPr>
                <w:color w:val="000000"/>
              </w:rPr>
            </w:pPr>
            <w:r>
              <w:rPr>
                <w:rFonts w:ascii="Times New Roman" w:hAnsi="Times New Roman" w:eastAsia="Times New Roman" w:cs="Times New Roman"/>
                <w:color w:val="000000"/>
              </w:rPr>
              <w:t>6.8%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6B7F2">
            <w:pPr>
              <w:spacing w:line="360" w:lineRule="auto"/>
              <w:jc w:val="center"/>
              <w:textAlignment w:val="center"/>
              <w:rPr>
                <w:color w:val="000000"/>
              </w:rPr>
            </w:pPr>
            <w:r>
              <w:rPr>
                <w:rFonts w:ascii="Times New Roman" w:hAnsi="Times New Roman" w:eastAsia="Times New Roman" w:cs="Times New Roman"/>
                <w:color w:val="000000"/>
              </w:rPr>
              <w:t>227%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3ADB77">
            <w:pPr>
              <w:spacing w:line="360" w:lineRule="auto"/>
              <w:jc w:val="center"/>
              <w:textAlignment w:val="center"/>
              <w:rPr>
                <w:color w:val="000000"/>
              </w:rPr>
            </w:pPr>
            <w:r>
              <w:rPr>
                <w:rFonts w:ascii="Times New Roman" w:hAnsi="Times New Roman" w:eastAsia="Times New Roman" w:cs="Times New Roman"/>
                <w:color w:val="000000"/>
              </w:rPr>
              <w:t>14.4%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E016E">
            <w:pPr>
              <w:spacing w:line="360" w:lineRule="auto"/>
              <w:jc w:val="center"/>
              <w:textAlignment w:val="center"/>
              <w:rPr>
                <w:color w:val="000000"/>
              </w:rPr>
            </w:pPr>
            <w:r>
              <w:rPr>
                <w:rFonts w:ascii="Times New Roman" w:hAnsi="Times New Roman" w:eastAsia="Times New Roman" w:cs="Times New Roman"/>
                <w:color w:val="000000"/>
              </w:rPr>
              <w:t>25%</w:t>
            </w:r>
          </w:p>
        </w:tc>
      </w:tr>
    </w:tbl>
    <w:p w14:paraId="431261EE">
      <w:pPr>
        <w:spacing w:line="360" w:lineRule="auto"/>
        <w:jc w:val="left"/>
        <w:textAlignment w:val="center"/>
        <w:rPr>
          <w:color w:val="000000"/>
        </w:rPr>
      </w:pPr>
    </w:p>
    <w:p w14:paraId="2A0BF006">
      <w:pPr>
        <w:spacing w:line="360" w:lineRule="auto"/>
        <w:jc w:val="left"/>
        <w:textAlignment w:val="center"/>
        <w:rPr>
          <w:color w:val="000000"/>
        </w:rPr>
      </w:pPr>
      <w:r>
        <w:rPr>
          <w:color w:val="000000"/>
        </w:rPr>
        <w:t xml:space="preserve">A. </w:t>
      </w:r>
      <w:r>
        <w:rPr>
          <w:rFonts w:ascii="宋体" w:hAnsi="宋体" w:eastAsia="宋体" w:cs="宋体"/>
          <w:color w:val="000000"/>
        </w:rPr>
        <w:t>形成了各民族“大杂居、小聚居”的分布格局</w:t>
      </w:r>
    </w:p>
    <w:p w14:paraId="1868439D">
      <w:pPr>
        <w:spacing w:line="360" w:lineRule="auto"/>
        <w:jc w:val="left"/>
        <w:textAlignment w:val="center"/>
        <w:rPr>
          <w:color w:val="000000"/>
        </w:rPr>
      </w:pPr>
      <w:r>
        <w:rPr>
          <w:color w:val="000000"/>
        </w:rPr>
        <w:t xml:space="preserve">B. </w:t>
      </w:r>
      <w:r>
        <w:rPr>
          <w:rFonts w:ascii="宋体" w:hAnsi="宋体" w:eastAsia="宋体" w:cs="宋体"/>
          <w:color w:val="000000"/>
        </w:rPr>
        <w:t>在处理民族关系上坚持各民族共同繁荣的方针</w:t>
      </w:r>
    </w:p>
    <w:p w14:paraId="16268E22">
      <w:pPr>
        <w:spacing w:line="360" w:lineRule="auto"/>
        <w:jc w:val="left"/>
        <w:textAlignment w:val="center"/>
        <w:rPr>
          <w:color w:val="000000"/>
        </w:rPr>
      </w:pPr>
      <w:r>
        <w:rPr>
          <w:color w:val="000000"/>
        </w:rPr>
        <w:t xml:space="preserve">C. </w:t>
      </w:r>
      <w:r>
        <w:rPr>
          <w:rFonts w:ascii="宋体" w:hAnsi="宋体" w:eastAsia="宋体" w:cs="宋体"/>
          <w:color w:val="000000"/>
        </w:rPr>
        <w:t>民族自治地方的人民政府是行使自治权的自治机关</w:t>
      </w:r>
    </w:p>
    <w:p w14:paraId="1DF3DFAA">
      <w:pPr>
        <w:spacing w:line="360" w:lineRule="auto"/>
        <w:jc w:val="left"/>
        <w:textAlignment w:val="center"/>
        <w:rPr>
          <w:color w:val="000000"/>
        </w:rPr>
      </w:pPr>
      <w:r>
        <w:rPr>
          <w:color w:val="000000"/>
        </w:rPr>
        <w:t xml:space="preserve">D. </w:t>
      </w:r>
      <w:r>
        <w:rPr>
          <w:rFonts w:ascii="宋体" w:hAnsi="宋体" w:eastAsia="宋体" w:cs="宋体"/>
          <w:color w:val="000000"/>
        </w:rPr>
        <w:t>各民族在国家和社会生活的各领域承担相同的义务</w:t>
      </w:r>
    </w:p>
    <w:p w14:paraId="277C1289">
      <w:pPr>
        <w:spacing w:line="360" w:lineRule="auto"/>
        <w:jc w:val="left"/>
        <w:textAlignment w:val="center"/>
        <w:rPr>
          <w:color w:val="000000"/>
        </w:rPr>
      </w:pPr>
      <w:r>
        <w:rPr>
          <w:color w:val="000000"/>
        </w:rPr>
        <w:t xml:space="preserve">14. </w:t>
      </w:r>
      <w:r>
        <w:rPr>
          <w:rFonts w:ascii="宋体" w:hAnsi="宋体" w:eastAsia="宋体" w:cs="宋体"/>
          <w:color w:val="000000"/>
        </w:rPr>
        <w:t>中国与“一带一路”沿线国家共享数据资源，推动“数字丝绸之路”建设，助力相关国家共享中国数字发展红利。此举有利于（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05E16BC">
      <w:pPr>
        <w:spacing w:line="360" w:lineRule="auto"/>
        <w:jc w:val="left"/>
        <w:textAlignment w:val="center"/>
        <w:rPr>
          <w:color w:val="000000"/>
        </w:rPr>
      </w:pPr>
      <w:r>
        <w:rPr>
          <w:rFonts w:ascii="宋体" w:hAnsi="宋体" w:eastAsia="宋体" w:cs="宋体"/>
          <w:color w:val="000000"/>
        </w:rPr>
        <w:t>①坚持“一国两制”方针</w:t>
      </w:r>
      <w:r>
        <w:rPr>
          <w:rFonts w:ascii="Times New Roman" w:hAnsi="Times New Roman" w:eastAsia="Times New Roman" w:cs="Times New Roman"/>
          <w:color w:val="000000"/>
        </w:rPr>
        <w:t xml:space="preserve">      </w:t>
      </w:r>
      <w:r>
        <w:rPr>
          <w:rFonts w:ascii="宋体" w:hAnsi="宋体" w:eastAsia="宋体" w:cs="宋体"/>
          <w:color w:val="000000"/>
        </w:rPr>
        <w:t>②集中力量把我国的事办好</w:t>
      </w:r>
    </w:p>
    <w:p w14:paraId="1DC2985C">
      <w:pPr>
        <w:spacing w:line="360" w:lineRule="auto"/>
        <w:jc w:val="left"/>
        <w:textAlignment w:val="center"/>
        <w:rPr>
          <w:color w:val="000000"/>
        </w:rPr>
      </w:pPr>
      <w:r>
        <w:rPr>
          <w:rFonts w:ascii="宋体" w:hAnsi="宋体" w:eastAsia="宋体" w:cs="宋体"/>
          <w:color w:val="000000"/>
        </w:rPr>
        <w:t>③解决全球数字鸿沟问题</w:t>
      </w:r>
      <w:r>
        <w:rPr>
          <w:rFonts w:ascii="Times New Roman" w:hAnsi="Times New Roman" w:eastAsia="Times New Roman" w:cs="Times New Roman"/>
          <w:color w:val="000000"/>
        </w:rPr>
        <w:t xml:space="preserve">      </w:t>
      </w:r>
      <w:r>
        <w:rPr>
          <w:rFonts w:ascii="宋体" w:hAnsi="宋体" w:eastAsia="宋体" w:cs="宋体"/>
          <w:color w:val="000000"/>
        </w:rPr>
        <w:t>④推动构建人类命运共同体</w:t>
      </w:r>
    </w:p>
    <w:p w14:paraId="62E5050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83432DB">
      <w:pPr>
        <w:spacing w:line="285" w:lineRule="auto"/>
        <w:jc w:val="left"/>
        <w:textAlignment w:val="center"/>
        <w:rPr>
          <w:color w:val="000000"/>
        </w:rPr>
      </w:pPr>
      <w:r>
        <w:rPr>
          <w:rFonts w:ascii="宋体" w:hAnsi="宋体" w:eastAsia="宋体" w:cs="宋体"/>
          <w:b/>
          <w:color w:val="000000"/>
          <w:sz w:val="24"/>
        </w:rPr>
        <w:t>二、简要分析题：结合材料，运用所学知识对问题进行简要分析和说明。本题计</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F6EB6BF">
      <w:pPr>
        <w:spacing w:line="360" w:lineRule="auto"/>
        <w:ind w:firstLine="420"/>
        <w:jc w:val="left"/>
        <w:textAlignment w:val="center"/>
        <w:rPr>
          <w:color w:val="000000"/>
        </w:rPr>
      </w:pPr>
      <w:r>
        <w:rPr>
          <w:color w:val="000000"/>
        </w:rPr>
        <w:t xml:space="preserve">15. </w:t>
      </w:r>
      <w:r>
        <w:rPr>
          <w:rFonts w:ascii="楷体" w:hAnsi="楷体" w:eastAsia="楷体" w:cs="楷体"/>
          <w:color w:val="000000"/>
        </w:rPr>
        <w:t>材料一</w:t>
      </w:r>
      <w:r>
        <w:rPr>
          <w:rFonts w:ascii="Times New Roman" w:hAnsi="Times New Roman" w:eastAsia="Times New Roman" w:cs="Times New Roman"/>
          <w:color w:val="000000"/>
        </w:rPr>
        <w:t xml:space="preserve">  2024</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江苏省推动大规模设备更新和消费品以旧换新行动方案》出台，明确实施消费品以旧换新行动。各地纷纷开展“焕新季”活动，大力促进汽车换“能”、家电换“智”、家装厨卫“焕新”，以高能耗、高污染的旧，换绿色、智能的新，满足百姓多样化需求。支持电商平台、支付机构、龙头企业等出台市场化以旧换新促销政策，开发推广“专精特新”产品，以此促进企业不断向“新”而行。</w:t>
      </w:r>
    </w:p>
    <w:p w14:paraId="550E2F81">
      <w:pPr>
        <w:spacing w:line="360" w:lineRule="auto"/>
        <w:jc w:val="left"/>
        <w:textAlignment w:val="center"/>
        <w:rPr>
          <w:color w:val="000000"/>
        </w:rPr>
      </w:pPr>
      <w:r>
        <w:rPr>
          <w:color w:val="000000"/>
        </w:rPr>
        <w:t>（1）</w:t>
      </w:r>
      <w:r>
        <w:rPr>
          <w:rFonts w:ascii="宋体" w:hAnsi="宋体" w:eastAsia="宋体" w:cs="宋体"/>
          <w:color w:val="000000"/>
        </w:rPr>
        <w:t>运用所学知识，结合材料谈谈为什么要实施消费品以旧换新政策。</w:t>
      </w:r>
    </w:p>
    <w:p w14:paraId="1E26266C">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以旧换新”并不意味着可以漠视勤俭节约。党的十八大以来，从中央到地方都采取了多项措施整顿“舌尖浪费”，《中华人民共和国反食品浪费法》应运而生，按需取食、盘光碗净日益成为当今社会的“新食尚”。但日常生活中，过量点餐、宴会浪费、食堂剩饭等现象时有发生。对此，同学们展开了讨论：</w:t>
      </w:r>
    </w:p>
    <w:p w14:paraId="1792F97C">
      <w:pPr>
        <w:spacing w:line="360" w:lineRule="auto"/>
        <w:ind w:firstLine="420"/>
        <w:jc w:val="left"/>
        <w:textAlignment w:val="center"/>
        <w:rPr>
          <w:color w:val="000000"/>
        </w:rPr>
      </w:pPr>
      <w:r>
        <w:rPr>
          <w:color w:val="000000"/>
        </w:rPr>
        <w:drawing>
          <wp:inline distT="0" distB="0" distL="114300" distR="114300">
            <wp:extent cx="1019175" cy="1190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19175" cy="1190625"/>
                    </a:xfrm>
                    <a:prstGeom prst="rect">
                      <a:avLst/>
                    </a:prstGeom>
                  </pic:spPr>
                </pic:pic>
              </a:graphicData>
            </a:graphic>
          </wp:inline>
        </w:drawing>
      </w:r>
      <w:r>
        <w:rPr>
          <w:rFonts w:ascii="楷体" w:hAnsi="楷体" w:eastAsia="楷体" w:cs="楷体"/>
          <w:color w:val="000000"/>
        </w:rPr>
        <w:t>“点餐多少是我的自由，我消费我作主。”</w:t>
      </w:r>
    </w:p>
    <w:p w14:paraId="4A9230AB">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rFonts w:ascii="楷体" w:hAnsi="楷体" w:eastAsia="楷体" w:cs="楷体"/>
          <w:color w:val="000000"/>
        </w:rPr>
        <w:t>“勤俭节约有法来规范，谁浪费谁可耻。”</w:t>
      </w:r>
      <w:r>
        <w:rPr>
          <w:rFonts w:ascii="Times New Roman" w:hAnsi="Times New Roman" w:eastAsia="Times New Roman" w:cs="Times New Roman"/>
          <w:color w:val="000000"/>
        </w:rPr>
        <w:t xml:space="preserve"> </w:t>
      </w:r>
      <w:r>
        <w:rPr>
          <w:color w:val="000000"/>
        </w:rPr>
        <w:drawing>
          <wp:inline distT="0" distB="0" distL="114300" distR="114300">
            <wp:extent cx="762000" cy="1257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62000" cy="1257300"/>
                    </a:xfrm>
                    <a:prstGeom prst="rect">
                      <a:avLst/>
                    </a:prstGeom>
                  </pic:spPr>
                </pic:pic>
              </a:graphicData>
            </a:graphic>
          </wp:inline>
        </w:drawing>
      </w:r>
    </w:p>
    <w:p w14:paraId="721BE88B">
      <w:pPr>
        <w:spacing w:line="360" w:lineRule="auto"/>
        <w:jc w:val="left"/>
        <w:textAlignment w:val="center"/>
        <w:rPr>
          <w:color w:val="000000"/>
        </w:rPr>
      </w:pPr>
      <w:r>
        <w:rPr>
          <w:color w:val="000000"/>
        </w:rPr>
        <w:t>（2）</w:t>
      </w:r>
      <w:r>
        <w:rPr>
          <w:rFonts w:ascii="宋体" w:hAnsi="宋体" w:eastAsia="宋体" w:cs="宋体"/>
          <w:color w:val="000000"/>
        </w:rPr>
        <w:t>运用相关法治知识，综合评析以上两位同学的观点。</w:t>
      </w:r>
    </w:p>
    <w:p w14:paraId="3A82C5CD">
      <w:pPr>
        <w:spacing w:line="285" w:lineRule="auto"/>
        <w:jc w:val="left"/>
        <w:textAlignment w:val="center"/>
        <w:rPr>
          <w:color w:val="000000"/>
        </w:rPr>
      </w:pPr>
      <w:r>
        <w:rPr>
          <w:rFonts w:ascii="宋体" w:hAnsi="宋体" w:eastAsia="宋体" w:cs="宋体"/>
          <w:b/>
          <w:color w:val="000000"/>
          <w:sz w:val="24"/>
        </w:rPr>
        <w:t>三、实践与探究题：结合背景材料进行探究，发现问题、提出问题并综合运用所学知识分析问题、解决问题。本题计</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1DAD28CE">
      <w:pPr>
        <w:spacing w:line="360" w:lineRule="auto"/>
        <w:jc w:val="left"/>
        <w:textAlignment w:val="center"/>
        <w:rPr>
          <w:color w:val="000000"/>
        </w:rPr>
      </w:pPr>
      <w:r>
        <w:rPr>
          <w:color w:val="000000"/>
        </w:rPr>
        <w:t xml:space="preserve">16. </w:t>
      </w:r>
      <w:r>
        <w:rPr>
          <w:rFonts w:ascii="宋体" w:hAnsi="宋体" w:eastAsia="宋体" w:cs="宋体"/>
          <w:color w:val="000000"/>
        </w:rPr>
        <w:t>博物馆，连接着过去、现在和未来，见证着国家</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历史，跃动着民族的根脉。盐城市某校九年级（</w:t>
      </w:r>
      <w:r>
        <w:rPr>
          <w:rFonts w:ascii="Times New Roman" w:hAnsi="Times New Roman" w:eastAsia="Times New Roman" w:cs="Times New Roman"/>
          <w:color w:val="000000"/>
        </w:rPr>
        <w:t>1</w:t>
      </w:r>
      <w:r>
        <w:rPr>
          <w:rFonts w:ascii="宋体" w:hAnsi="宋体" w:eastAsia="宋体" w:cs="宋体"/>
          <w:color w:val="000000"/>
        </w:rPr>
        <w:t>）班的同学以“走进博物馆”为主题开展探究活动，请你参与。</w:t>
      </w:r>
    </w:p>
    <w:p w14:paraId="28EB3B81">
      <w:pPr>
        <w:spacing w:line="360" w:lineRule="auto"/>
        <w:ind w:firstLine="420"/>
        <w:jc w:val="left"/>
        <w:textAlignment w:val="center"/>
        <w:rPr>
          <w:color w:val="000000"/>
        </w:rPr>
      </w:pPr>
      <w:r>
        <w:rPr>
          <w:rFonts w:ascii="楷体" w:hAnsi="楷体" w:eastAsia="楷体" w:cs="楷体"/>
          <w:color w:val="000000"/>
        </w:rPr>
        <w:t>【汲取文博力量】同学们通过登录国家博物馆网站获知：</w:t>
      </w:r>
    </w:p>
    <w:p w14:paraId="55A60BA2">
      <w:pPr>
        <w:spacing w:line="360" w:lineRule="auto"/>
        <w:ind w:firstLine="420"/>
        <w:jc w:val="left"/>
        <w:textAlignment w:val="center"/>
        <w:rPr>
          <w:color w:val="000000"/>
        </w:rPr>
      </w:pP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日是国际博物馆日，国家博物馆开展了“科技之光——古代的四大发明”公益教育活动，邀请</w:t>
      </w:r>
      <w:r>
        <w:rPr>
          <w:rFonts w:ascii="Times New Roman" w:hAnsi="Times New Roman" w:eastAsia="Times New Roman" w:cs="Times New Roman"/>
          <w:color w:val="000000"/>
        </w:rPr>
        <w:t>7-12</w:t>
      </w:r>
      <w:r>
        <w:rPr>
          <w:rFonts w:ascii="楷体" w:hAnsi="楷体" w:eastAsia="楷体" w:cs="楷体"/>
          <w:color w:val="000000"/>
        </w:rPr>
        <w:t>岁的学生群体走进国家博物馆。通过欣赏“古代中国”基本陈列和“科技的力量”专题展览，体验“影响世界的四大发明”闯关游戏，深入了解中国古代科技为推动人类文明进程做出的巨大贡献。</w:t>
      </w:r>
    </w:p>
    <w:p w14:paraId="538E5EE9">
      <w:pPr>
        <w:spacing w:line="360" w:lineRule="auto"/>
        <w:jc w:val="left"/>
        <w:textAlignment w:val="center"/>
        <w:rPr>
          <w:color w:val="000000"/>
        </w:rPr>
      </w:pPr>
      <w:r>
        <w:rPr>
          <w:color w:val="000000"/>
        </w:rPr>
        <w:t>（1）</w:t>
      </w:r>
      <w:r>
        <w:rPr>
          <w:rFonts w:ascii="宋体" w:hAnsi="宋体" w:eastAsia="宋体" w:cs="宋体"/>
          <w:color w:val="000000"/>
        </w:rPr>
        <w:t>结合材料，运用所学知识说明国家博物馆举办上述活动的意义。</w:t>
      </w:r>
    </w:p>
    <w:p w14:paraId="150D7AA8">
      <w:pPr>
        <w:spacing w:line="360" w:lineRule="auto"/>
        <w:ind w:firstLine="420"/>
        <w:jc w:val="left"/>
        <w:textAlignment w:val="center"/>
        <w:rPr>
          <w:color w:val="000000"/>
        </w:rPr>
      </w:pPr>
      <w:r>
        <w:rPr>
          <w:rFonts w:ascii="楷体" w:hAnsi="楷体" w:eastAsia="楷体" w:cs="楷体"/>
          <w:color w:val="000000"/>
        </w:rPr>
        <w:t>【继承革命传统】同学们前往新四军纪念馆参观了解到：</w:t>
      </w:r>
    </w:p>
    <w:p w14:paraId="08588E6C">
      <w:pPr>
        <w:spacing w:line="360" w:lineRule="auto"/>
        <w:ind w:firstLine="420"/>
        <w:jc w:val="left"/>
        <w:textAlignment w:val="center"/>
        <w:rPr>
          <w:color w:val="000000"/>
        </w:rPr>
      </w:pPr>
      <w:r>
        <w:rPr>
          <w:rFonts w:ascii="楷体" w:hAnsi="楷体" w:eastAsia="楷体" w:cs="楷体"/>
          <w:color w:val="000000"/>
        </w:rPr>
        <w:t>一张张照片、一份份史料、一件件文物、一个个模拟实景，全面展现了新四军“跟党举旗、听党指挥”的浴血奋战历史，生动还原了新四军“依靠群众、报国为民”的顽强抗日历程。新四军的英勇斗争，为抗战胜利作出了重要贡献。</w:t>
      </w:r>
    </w:p>
    <w:p w14:paraId="49042D30">
      <w:pPr>
        <w:spacing w:line="360" w:lineRule="auto"/>
        <w:ind w:firstLine="420"/>
        <w:jc w:val="left"/>
        <w:textAlignment w:val="center"/>
        <w:rPr>
          <w:color w:val="000000"/>
        </w:rPr>
      </w:pPr>
      <w:r>
        <w:rPr>
          <w:rFonts w:ascii="楷体" w:hAnsi="楷体" w:eastAsia="楷体" w:cs="楷体"/>
          <w:color w:val="000000"/>
        </w:rPr>
        <w:t>习近平总书记在考察盐城新四军纪念馆时强调：新四军的历史充分说明，民心向背决定着历史的选择，江山就是人民、人民就是江山。要发扬不怕困难、不畏艰险，勇于斗争、敢于胜利的精神。</w:t>
      </w:r>
    </w:p>
    <w:p w14:paraId="63C11994">
      <w:pPr>
        <w:spacing w:line="360" w:lineRule="auto"/>
        <w:jc w:val="left"/>
        <w:textAlignment w:val="center"/>
        <w:rPr>
          <w:color w:val="000000"/>
        </w:rPr>
      </w:pPr>
      <w:r>
        <w:rPr>
          <w:color w:val="000000"/>
        </w:rPr>
        <w:t>（2）</w:t>
      </w:r>
      <w:r>
        <w:rPr>
          <w:rFonts w:ascii="宋体" w:hAnsi="宋体" w:eastAsia="宋体" w:cs="宋体"/>
          <w:color w:val="000000"/>
        </w:rPr>
        <w:t>瞻往思来，向史而新。结合材料，运用所学知识说明新时代我们应该如何继承革命传统实现民族复兴伟业？</w:t>
      </w:r>
    </w:p>
    <w:p w14:paraId="1F7225D2">
      <w:pPr>
        <w:spacing w:line="360" w:lineRule="auto"/>
        <w:ind w:firstLine="420"/>
        <w:jc w:val="left"/>
        <w:textAlignment w:val="center"/>
        <w:rPr>
          <w:color w:val="000000"/>
        </w:rPr>
      </w:pPr>
      <w:r>
        <w:rPr>
          <w:rFonts w:ascii="楷体" w:hAnsi="楷体" w:eastAsia="楷体" w:cs="楷体"/>
          <w:color w:val="000000"/>
        </w:rPr>
        <w:t>【开启研学新旅】同学们参观新四军纪念馆后，打算开启一次新的博物馆研学之旅。</w:t>
      </w:r>
    </w:p>
    <w:p w14:paraId="4E21E802">
      <w:pPr>
        <w:spacing w:line="360" w:lineRule="auto"/>
        <w:ind w:firstLine="420"/>
        <w:jc w:val="left"/>
        <w:textAlignment w:val="center"/>
        <w:rPr>
          <w:color w:val="000000"/>
        </w:rPr>
      </w:pPr>
      <w:r>
        <w:rPr>
          <w:rFonts w:ascii="楷体" w:hAnsi="楷体" w:eastAsia="楷体" w:cs="楷体"/>
          <w:color w:val="000000"/>
        </w:rPr>
        <w:t>通过浏览江苏各设区市博物馆分布图，了解到江苏有着丰富的博物馆资源。如侵华日军南京大屠杀遇难同胞纪念馆、中国黄海湿地博物馆、扬州中国大运河博物馆、苏州戏曲博物馆……</w:t>
      </w:r>
    </w:p>
    <w:p w14:paraId="1E24FEDA">
      <w:pPr>
        <w:spacing w:line="360" w:lineRule="auto"/>
        <w:jc w:val="left"/>
        <w:textAlignment w:val="center"/>
        <w:rPr>
          <w:color w:val="000000"/>
        </w:rPr>
      </w:pPr>
      <w:r>
        <w:rPr>
          <w:rFonts w:ascii="宋体" w:hAnsi="宋体" w:eastAsia="宋体" w:cs="宋体"/>
          <w:color w:val="000000"/>
        </w:rPr>
        <w:t>江苏各设区市博物馆分布（单位：个）</w:t>
      </w:r>
    </w:p>
    <w:p w14:paraId="44B3A860">
      <w:pPr>
        <w:spacing w:line="360" w:lineRule="auto"/>
        <w:jc w:val="left"/>
        <w:textAlignment w:val="center"/>
        <w:rPr>
          <w:color w:val="000000"/>
        </w:rPr>
      </w:pPr>
      <w:r>
        <w:rPr>
          <w:color w:val="000000"/>
        </w:rPr>
        <w:drawing>
          <wp:inline distT="0" distB="0" distL="114300" distR="114300">
            <wp:extent cx="3171825" cy="27432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171825" cy="2743200"/>
                    </a:xfrm>
                    <a:prstGeom prst="rect">
                      <a:avLst/>
                    </a:prstGeom>
                  </pic:spPr>
                </pic:pic>
              </a:graphicData>
            </a:graphic>
          </wp:inline>
        </w:drawing>
      </w:r>
    </w:p>
    <w:p w14:paraId="42107740">
      <w:pPr>
        <w:spacing w:line="360" w:lineRule="auto"/>
        <w:jc w:val="left"/>
        <w:textAlignment w:val="center"/>
        <w:rPr>
          <w:color w:val="000000"/>
        </w:rPr>
      </w:pPr>
      <w:r>
        <w:rPr>
          <w:color w:val="000000"/>
        </w:rPr>
        <w:t>（3）</w:t>
      </w:r>
      <w:r>
        <w:rPr>
          <w:rFonts w:ascii="宋体" w:hAnsi="宋体" w:eastAsia="宋体" w:cs="宋体"/>
          <w:color w:val="000000"/>
        </w:rPr>
        <w:t>请你选择一座博物馆作为研学目的地，并写出研学主题与研学目标。</w:t>
      </w:r>
    </w:p>
    <w:p w14:paraId="219CA9E4">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528E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44EF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5EF7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4722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25E1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08CB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81B73D6"/>
    <w:rsid w:val="7C71415B"/>
    <w:rsid w:val="7CA76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2927</Words>
  <Characters>3076</Characters>
  <Lines>0</Lines>
  <Paragraphs>0</Paragraphs>
  <TotalTime>5</TotalTime>
  <ScaleCrop>false</ScaleCrop>
  <LinksUpToDate>false</LinksUpToDate>
  <CharactersWithSpaces>3266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2024-06-18T21:50:00Z</dcterms:created>
  <dc:creator>学科网试题生产平台</dc:creator>
  <dc:description>3521183957278720</dc:description>
  <cp:lastModifiedBy>上帝掷骰子吗</cp:lastModifiedBy>
  <dcterms:modified xsi:type="dcterms:W3CDTF">2026-02-09T06:14:07Z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F07D1D51E26A4DB5AEFE76A206902594_12</vt:lpwstr>
  </property>
  <property fmtid="{D5CDD505-2E9C-101B-9397-08002B2CF9AE}" pid="8" name="KSOTemplateDocerSaveRecord">
    <vt:lpwstr>eyJoZGlkIjoiMjljNjk0N2RhMTc0NzI3ZTQwZWEyZWMyMzA2NzliMDQiLCJ1c2VySWQiOiI3ODUwOTA2ODcifQ==</vt:lpwstr>
  </property>
</Properties>
</file>