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53F09">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10566400</wp:posOffset>
            </wp:positionV>
            <wp:extent cx="266700" cy="2952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266700" cy="295275"/>
                    </a:xfrm>
                    <a:prstGeom prst="rect">
                      <a:avLst/>
                    </a:prstGeom>
                  </pic:spPr>
                </pic:pic>
              </a:graphicData>
            </a:graphic>
          </wp:anchor>
        </w:drawing>
      </w:r>
      <w:r>
        <w:rPr>
          <w:b/>
          <w:bCs/>
          <w:sz w:val="32"/>
          <w:szCs w:val="32"/>
        </w:rPr>
        <w:t>2024</w:t>
      </w:r>
      <w:r>
        <w:rPr>
          <w:rFonts w:ascii="宋体" w:hAnsi="宋体" w:eastAsia="宋体" w:cs="宋体"/>
          <w:b/>
          <w:bCs/>
          <w:sz w:val="32"/>
          <w:szCs w:val="32"/>
        </w:rPr>
        <w:t>年四川省南充市中考道德与法治真题</w:t>
      </w:r>
    </w:p>
    <w:p w14:paraId="1B391B86">
      <w:pPr>
        <w:widowControl w:val="0"/>
        <w:spacing w:before="0" w:after="0" w:line="286" w:lineRule="auto"/>
      </w:pPr>
      <w:r>
        <w:rPr>
          <w:rFonts w:ascii="宋体" w:hAnsi="宋体" w:eastAsia="宋体" w:cs="宋体"/>
          <w:b/>
          <w:bCs/>
        </w:rPr>
        <w:t>注意事项：</w:t>
      </w:r>
    </w:p>
    <w:p w14:paraId="12BE89C5">
      <w:pPr>
        <w:widowControl w:val="0"/>
        <w:spacing w:before="0" w:after="0" w:line="286" w:lineRule="auto"/>
      </w:pPr>
      <w:r>
        <w:rPr>
          <w:b/>
          <w:bCs/>
        </w:rPr>
        <w:t>1</w:t>
      </w:r>
      <w:r>
        <w:rPr>
          <w:rFonts w:ascii="宋体" w:hAnsi="宋体" w:eastAsia="宋体" w:cs="宋体"/>
          <w:b/>
          <w:bCs/>
        </w:rPr>
        <w:t>．文科综合为闭卷考试，包括道德与法治、历史两部分，满分</w:t>
      </w:r>
      <w:r>
        <w:rPr>
          <w:b/>
          <w:bCs/>
        </w:rPr>
        <w:t>200</w:t>
      </w:r>
      <w:r>
        <w:rPr>
          <w:rFonts w:ascii="宋体" w:hAnsi="宋体" w:eastAsia="宋体" w:cs="宋体"/>
          <w:b/>
          <w:bCs/>
        </w:rPr>
        <w:t>分。其中道德与法治</w:t>
      </w:r>
      <w:r>
        <w:rPr>
          <w:b/>
          <w:bCs/>
        </w:rPr>
        <w:t>100</w:t>
      </w:r>
      <w:r>
        <w:rPr>
          <w:rFonts w:ascii="宋体" w:hAnsi="宋体" w:eastAsia="宋体" w:cs="宋体"/>
          <w:b/>
          <w:bCs/>
        </w:rPr>
        <w:t>分（按</w:t>
      </w:r>
      <w:r>
        <w:rPr>
          <w:b/>
          <w:bCs/>
        </w:rPr>
        <w:t>50</w:t>
      </w:r>
      <w:r>
        <w:rPr>
          <w:rFonts w:ascii="宋体" w:hAnsi="宋体" w:eastAsia="宋体" w:cs="宋体"/>
          <w:b/>
          <w:bCs/>
        </w:rPr>
        <w:t>分折合计入总成绩），历史</w:t>
      </w:r>
      <w:r>
        <w:rPr>
          <w:b/>
          <w:bCs/>
        </w:rPr>
        <w:t>100</w:t>
      </w:r>
      <w:r>
        <w:rPr>
          <w:rFonts w:ascii="宋体" w:hAnsi="宋体" w:eastAsia="宋体" w:cs="宋体"/>
          <w:b/>
          <w:bCs/>
        </w:rPr>
        <w:t>分（按</w:t>
      </w:r>
      <w:r>
        <w:rPr>
          <w:b/>
          <w:bCs/>
        </w:rPr>
        <w:t>50</w:t>
      </w:r>
      <w:r>
        <w:rPr>
          <w:rFonts w:ascii="宋体" w:hAnsi="宋体" w:eastAsia="宋体" w:cs="宋体"/>
          <w:b/>
          <w:bCs/>
        </w:rPr>
        <w:t>分折合计入总成绩）。考试时间</w:t>
      </w:r>
      <w:r>
        <w:rPr>
          <w:b/>
          <w:bCs/>
        </w:rPr>
        <w:t>90</w:t>
      </w:r>
      <w:r>
        <w:rPr>
          <w:rFonts w:ascii="宋体" w:hAnsi="宋体" w:eastAsia="宋体" w:cs="宋体"/>
          <w:b/>
          <w:bCs/>
        </w:rPr>
        <w:t>分钟。</w:t>
      </w:r>
    </w:p>
    <w:p w14:paraId="19312096">
      <w:pPr>
        <w:widowControl w:val="0"/>
        <w:spacing w:before="0" w:after="0" w:line="286" w:lineRule="auto"/>
      </w:pPr>
      <w:r>
        <w:rPr>
          <w:b/>
          <w:bCs/>
        </w:rPr>
        <w:t>2</w:t>
      </w:r>
      <w:r>
        <w:rPr>
          <w:rFonts w:ascii="宋体" w:hAnsi="宋体" w:eastAsia="宋体" w:cs="宋体"/>
          <w:b/>
          <w:bCs/>
        </w:rPr>
        <w:t>．答题前将姓名、座位号、身份证号、准考证号填在答题卡指定位置。</w:t>
      </w:r>
    </w:p>
    <w:p w14:paraId="5F617569">
      <w:pPr>
        <w:widowControl w:val="0"/>
        <w:spacing w:before="0" w:after="0" w:line="286" w:lineRule="auto"/>
      </w:pPr>
      <w:r>
        <w:rPr>
          <w:b/>
          <w:bCs/>
        </w:rPr>
        <w:t>3</w:t>
      </w:r>
      <w:r>
        <w:rPr>
          <w:rFonts w:ascii="宋体" w:hAnsi="宋体" w:eastAsia="宋体" w:cs="宋体"/>
          <w:b/>
          <w:bCs/>
        </w:rPr>
        <w:t>．所有解答内容均需涂、写在答题卡上。</w:t>
      </w:r>
    </w:p>
    <w:p w14:paraId="4CCA4810">
      <w:pPr>
        <w:widowControl w:val="0"/>
        <w:spacing w:before="0" w:after="0" w:line="286" w:lineRule="auto"/>
      </w:pPr>
      <w:r>
        <w:rPr>
          <w:b/>
          <w:bCs/>
        </w:rPr>
        <w:t>4</w:t>
      </w:r>
      <w:r>
        <w:rPr>
          <w:rFonts w:ascii="宋体" w:hAnsi="宋体" w:eastAsia="宋体" w:cs="宋体"/>
          <w:b/>
          <w:bCs/>
        </w:rPr>
        <w:t>．选择题须用</w:t>
      </w:r>
      <w:r>
        <w:rPr>
          <w:b/>
          <w:bCs/>
        </w:rPr>
        <w:t>2B</w:t>
      </w:r>
      <w:r>
        <w:rPr>
          <w:rFonts w:ascii="宋体" w:hAnsi="宋体" w:eastAsia="宋体" w:cs="宋体"/>
          <w:b/>
          <w:bCs/>
        </w:rPr>
        <w:t>铅笔将答题卡相应题号对应选项涂黑，若需改动，须擦净另涂。</w:t>
      </w:r>
    </w:p>
    <w:p w14:paraId="12093E97">
      <w:pPr>
        <w:widowControl w:val="0"/>
        <w:spacing w:before="0" w:after="0" w:line="286" w:lineRule="auto"/>
      </w:pPr>
      <w:r>
        <w:rPr>
          <w:b/>
          <w:bCs/>
        </w:rPr>
        <w:t>5</w:t>
      </w:r>
      <w:r>
        <w:rPr>
          <w:rFonts w:ascii="宋体" w:hAnsi="宋体" w:eastAsia="宋体" w:cs="宋体"/>
          <w:b/>
          <w:bCs/>
        </w:rPr>
        <w:t>．非选择题在答题卡对应题号位置用</w:t>
      </w:r>
      <w:r>
        <w:rPr>
          <w:b/>
          <w:bCs/>
        </w:rPr>
        <w:t>0.5</w:t>
      </w:r>
      <w:r>
        <w:rPr>
          <w:rFonts w:ascii="宋体" w:hAnsi="宋体" w:eastAsia="宋体" w:cs="宋体"/>
          <w:b/>
          <w:bCs/>
        </w:rPr>
        <w:t>毫米黑色字迹笔书写。</w:t>
      </w:r>
    </w:p>
    <w:p w14:paraId="4DC4832E">
      <w:pPr>
        <w:widowControl w:val="0"/>
        <w:spacing w:before="0" w:after="0" w:line="286" w:lineRule="auto"/>
      </w:pPr>
      <w:r>
        <w:rPr>
          <w:rFonts w:ascii="宋体" w:hAnsi="宋体" w:eastAsia="宋体" w:cs="宋体"/>
          <w:b/>
          <w:bCs/>
        </w:rPr>
        <w:t>一、单项选择题（下列各题只有一个选项最符合题意，请在答题卡中填涂你的选择项。每小题</w:t>
      </w:r>
      <w:r>
        <w:rPr>
          <w:b/>
          <w:bCs/>
        </w:rPr>
        <w:t>4</w:t>
      </w:r>
      <w:r>
        <w:rPr>
          <w:rFonts w:ascii="宋体" w:hAnsi="宋体" w:eastAsia="宋体" w:cs="宋体"/>
          <w:b/>
          <w:bCs/>
        </w:rPr>
        <w:t>分，共</w:t>
      </w:r>
      <w:r>
        <w:rPr>
          <w:b/>
          <w:bCs/>
        </w:rPr>
        <w:t>40</w:t>
      </w:r>
      <w:r>
        <w:rPr>
          <w:rFonts w:ascii="宋体" w:hAnsi="宋体" w:eastAsia="宋体" w:cs="宋体"/>
          <w:b/>
          <w:bCs/>
        </w:rPr>
        <w:t>分）</w:t>
      </w:r>
    </w:p>
    <w:p w14:paraId="3F9FF775">
      <w:pPr>
        <w:widowControl w:val="0"/>
        <w:spacing w:before="0" w:after="0" w:line="360" w:lineRule="auto"/>
        <w:rPr>
          <w:sz w:val="21"/>
          <w:szCs w:val="21"/>
        </w:rPr>
      </w:pPr>
      <w:r>
        <w:rPr>
          <w:sz w:val="21"/>
          <w:szCs w:val="21"/>
        </w:rPr>
        <w:t>1. 2024</w:t>
      </w:r>
      <w:r>
        <w:rPr>
          <w:rFonts w:ascii="宋体" w:hAnsi="宋体" w:eastAsia="宋体" w:cs="宋体"/>
          <w:sz w:val="21"/>
          <w:szCs w:val="21"/>
        </w:rPr>
        <w:t>年</w:t>
      </w:r>
      <w:r>
        <w:rPr>
          <w:sz w:val="21"/>
          <w:szCs w:val="21"/>
        </w:rPr>
        <w:t>3</w:t>
      </w:r>
      <w:r>
        <w:rPr>
          <w:rFonts w:ascii="宋体" w:hAnsi="宋体" w:eastAsia="宋体" w:cs="宋体"/>
          <w:sz w:val="21"/>
          <w:szCs w:val="21"/>
        </w:rPr>
        <w:t>月</w:t>
      </w:r>
      <w:r>
        <w:rPr>
          <w:sz w:val="21"/>
          <w:szCs w:val="21"/>
        </w:rPr>
        <w:t>11</w:t>
      </w:r>
      <w:r>
        <w:rPr>
          <w:rFonts w:ascii="宋体" w:hAnsi="宋体" w:eastAsia="宋体" w:cs="宋体"/>
          <w:sz w:val="21"/>
          <w:szCs w:val="21"/>
        </w:rPr>
        <w:t>日，十四届全国人大二次会议修订通过了</w:t>
      </w:r>
      <w:r>
        <w:rPr>
          <w:sz w:val="21"/>
          <w:szCs w:val="21"/>
        </w:rPr>
        <w:t>_______</w:t>
      </w:r>
      <w:r>
        <w:rPr>
          <w:rFonts w:ascii="宋体" w:hAnsi="宋体" w:eastAsia="宋体" w:cs="宋体"/>
          <w:sz w:val="21"/>
          <w:szCs w:val="21"/>
        </w:rPr>
        <w:t>。（</w:t>
      </w:r>
      <w:r>
        <w:rPr>
          <w:sz w:val="21"/>
          <w:szCs w:val="21"/>
        </w:rPr>
        <w:t xml:space="preserve">    </w:t>
      </w:r>
      <w:r>
        <w:rPr>
          <w:rFonts w:ascii="宋体" w:hAnsi="宋体" w:eastAsia="宋体" w:cs="宋体"/>
          <w:sz w:val="21"/>
          <w:szCs w:val="21"/>
        </w:rPr>
        <w:t>）</w:t>
      </w:r>
    </w:p>
    <w:p w14:paraId="4AB3BB1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《中华人民共和国立法法》</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《中华人民共和国国务院组织法》</w:t>
      </w:r>
    </w:p>
    <w:p w14:paraId="3BC5B28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《中华人民共和国黄河保护法》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《中华人民共和国家庭教育促进法》</w:t>
      </w:r>
    </w:p>
    <w:p w14:paraId="0015499B">
      <w:pPr>
        <w:widowControl w:val="0"/>
        <w:spacing w:before="0" w:after="0" w:line="360" w:lineRule="auto"/>
        <w:rPr>
          <w:sz w:val="21"/>
          <w:szCs w:val="21"/>
        </w:rPr>
      </w:pPr>
      <w:r>
        <w:rPr>
          <w:sz w:val="21"/>
          <w:szCs w:val="21"/>
        </w:rPr>
        <w:t xml:space="preserve">2. </w:t>
      </w:r>
      <w:r>
        <w:rPr>
          <w:rFonts w:ascii="宋体" w:hAnsi="宋体" w:eastAsia="宋体" w:cs="宋体"/>
          <w:sz w:val="21"/>
          <w:szCs w:val="21"/>
        </w:rPr>
        <w:t>研究认为，焦虑水平与学习效率之间呈倒</w:t>
      </w:r>
      <w:r>
        <w:rPr>
          <w:sz w:val="21"/>
          <w:szCs w:val="21"/>
        </w:rPr>
        <w:t>U</w:t>
      </w:r>
      <w:r>
        <w:rPr>
          <w:rFonts w:ascii="宋体" w:hAnsi="宋体" w:eastAsia="宋体" w:cs="宋体"/>
          <w:sz w:val="21"/>
          <w:szCs w:val="21"/>
        </w:rPr>
        <w:t>型关系（如图）。这启示我们（</w:t>
      </w:r>
      <w:r>
        <w:rPr>
          <w:sz w:val="21"/>
          <w:szCs w:val="21"/>
        </w:rPr>
        <w:t xml:space="preserve">    </w:t>
      </w:r>
      <w:r>
        <w:rPr>
          <w:rFonts w:ascii="宋体" w:hAnsi="宋体" w:eastAsia="宋体" w:cs="宋体"/>
          <w:sz w:val="21"/>
          <w:szCs w:val="21"/>
        </w:rPr>
        <w:t>）</w:t>
      </w:r>
    </w:p>
    <w:p w14:paraId="04140DE5">
      <w:pPr>
        <w:widowControl w:val="0"/>
        <w:spacing w:before="0" w:after="0" w:line="360" w:lineRule="auto"/>
        <w:rPr>
          <w:sz w:val="21"/>
          <w:szCs w:val="21"/>
        </w:rPr>
      </w:pPr>
      <w:r>
        <w:rPr>
          <w:strike w:val="0"/>
          <w:sz w:val="21"/>
          <w:szCs w:val="21"/>
          <w:u w:val="none"/>
        </w:rPr>
        <w:drawing>
          <wp:inline distT="0" distB="0" distL="114300" distR="114300">
            <wp:extent cx="2847975" cy="20288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47975" cy="2028825"/>
                    </a:xfrm>
                    <a:prstGeom prst="rect">
                      <a:avLst/>
                    </a:prstGeom>
                  </pic:spPr>
                </pic:pic>
              </a:graphicData>
            </a:graphic>
          </wp:inline>
        </w:drawing>
      </w:r>
    </w:p>
    <w:p w14:paraId="507321C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焦虑水平越高，学习的效率越高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焦虑水平越低，学习的效率越高</w:t>
      </w:r>
    </w:p>
    <w:p w14:paraId="48340F7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在学习过程中，不能有焦虑情绪</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要学会调节情绪，提高学习效率</w:t>
      </w:r>
    </w:p>
    <w:p w14:paraId="21C6AE27">
      <w:pPr>
        <w:widowControl w:val="0"/>
        <w:spacing w:before="0" w:after="0" w:line="360" w:lineRule="auto"/>
        <w:rPr>
          <w:sz w:val="21"/>
          <w:szCs w:val="21"/>
        </w:rPr>
      </w:pPr>
      <w:r>
        <w:rPr>
          <w:sz w:val="21"/>
          <w:szCs w:val="21"/>
        </w:rPr>
        <w:t xml:space="preserve">3. </w:t>
      </w:r>
      <w:r>
        <w:rPr>
          <w:rFonts w:ascii="宋体" w:hAnsi="宋体" w:eastAsia="宋体" w:cs="宋体"/>
          <w:sz w:val="21"/>
          <w:szCs w:val="21"/>
        </w:rPr>
        <w:t>对下列“微行为”的评价，你赞同的是（</w:t>
      </w:r>
      <w:r>
        <w:rPr>
          <w:sz w:val="21"/>
          <w:szCs w:val="21"/>
        </w:rPr>
        <w:t xml:space="preserve">    </w:t>
      </w:r>
      <w:r>
        <w:rPr>
          <w:rFonts w:ascii="宋体" w:hAnsi="宋体" w:eastAsia="宋体" w:cs="宋体"/>
          <w:sz w:val="21"/>
          <w:szCs w:val="21"/>
        </w:rPr>
        <w:t>）</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860"/>
        <w:gridCol w:w="3390"/>
      </w:tblGrid>
      <w:tr w14:paraId="5E3573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63AE5AEE">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微行为</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31C18745">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微评价</w:t>
            </w:r>
          </w:p>
        </w:tc>
      </w:tr>
      <w:tr w14:paraId="37876B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6C085D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八年级学生小王拒绝了父亲让其辍学打工</w:t>
            </w:r>
            <w:r>
              <w:rPr>
                <w:b w:val="0"/>
                <w:bCs w:val="0"/>
                <w:i w:val="0"/>
                <w:iCs w:val="0"/>
                <w:smallCaps w:val="0"/>
                <w:strike w:val="0"/>
                <w:color w:val="000000"/>
                <w:sz w:val="21"/>
                <w:szCs w:val="21"/>
                <w:u w:val="none"/>
              </w:rPr>
              <w:drawing>
                <wp:inline distT="0" distB="0" distL="114300" distR="114300">
                  <wp:extent cx="133350" cy="180975"/>
                  <wp:effectExtent l="0" t="0" r="0" b="889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b w:val="0"/>
                <w:bCs w:val="0"/>
                <w:i w:val="0"/>
                <w:iCs w:val="0"/>
                <w:smallCaps w:val="0"/>
                <w:color w:val="000000"/>
                <w:sz w:val="21"/>
                <w:szCs w:val="21"/>
              </w:rPr>
              <w:t>要求</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B93113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①小王维护了自己的人身自由权</w:t>
            </w:r>
          </w:p>
        </w:tc>
      </w:tr>
      <w:tr w14:paraId="408DEC4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6BEFF7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小张大学毕业后应征入伍，到边疆保卫祖国</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680D6D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②小张履行了依法服兵役的义务</w:t>
            </w:r>
          </w:p>
        </w:tc>
      </w:tr>
      <w:tr w14:paraId="4B69D3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BE9313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市民小赵按号有序就医，自觉遵守公共秩序</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86CF52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③小赵履行了依法纳税的义务</w:t>
            </w:r>
          </w:p>
        </w:tc>
      </w:tr>
      <w:tr w14:paraId="0A1A25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18C0411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市民小李发现疑似间谍行为，立即向国安机关举报</w:t>
            </w:r>
          </w:p>
        </w:tc>
        <w:tc>
          <w:tcPr>
            <w:tcBorders>
              <w:top w:val="single" w:color="000000" w:sz="6" w:space="0"/>
              <w:left w:val="single" w:color="000000" w:sz="6" w:space="0"/>
            </w:tcBorders>
            <w:noWrap w:val="0"/>
            <w:tcMar>
              <w:top w:w="76" w:type="dxa"/>
              <w:left w:w="120" w:type="dxa"/>
              <w:bottom w:w="76" w:type="dxa"/>
              <w:right w:w="120" w:type="dxa"/>
            </w:tcMar>
            <w:vAlign w:val="center"/>
          </w:tcPr>
          <w:p w14:paraId="77CA7D7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④小李履行了维护国家安全的义务</w:t>
            </w:r>
          </w:p>
        </w:tc>
      </w:tr>
    </w:tbl>
    <w:p w14:paraId="5CE9359D">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13B7B38B">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27C83EAF">
      <w:pPr>
        <w:widowControl w:val="0"/>
        <w:spacing w:before="0" w:after="0" w:line="360" w:lineRule="auto"/>
        <w:rPr>
          <w:sz w:val="21"/>
          <w:szCs w:val="21"/>
        </w:rPr>
      </w:pPr>
    </w:p>
    <w:p w14:paraId="79B759C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37E408D5">
      <w:pPr>
        <w:widowControl w:val="0"/>
        <w:spacing w:before="0" w:after="0" w:line="360" w:lineRule="auto"/>
        <w:rPr>
          <w:sz w:val="21"/>
          <w:szCs w:val="21"/>
        </w:rPr>
      </w:pPr>
      <w:r>
        <w:rPr>
          <w:sz w:val="21"/>
          <w:szCs w:val="21"/>
        </w:rPr>
        <w:t>4. 2024</w:t>
      </w:r>
      <w:r>
        <w:rPr>
          <w:rFonts w:ascii="宋体" w:hAnsi="宋体" w:eastAsia="宋体" w:cs="宋体"/>
          <w:sz w:val="21"/>
          <w:szCs w:val="21"/>
        </w:rPr>
        <w:t>年</w:t>
      </w:r>
      <w:r>
        <w:rPr>
          <w:sz w:val="21"/>
          <w:szCs w:val="21"/>
        </w:rPr>
        <w:t>3</w:t>
      </w:r>
      <w:r>
        <w:rPr>
          <w:rFonts w:ascii="宋体" w:hAnsi="宋体" w:eastAsia="宋体" w:cs="宋体"/>
          <w:sz w:val="21"/>
          <w:szCs w:val="21"/>
        </w:rPr>
        <w:t>月</w:t>
      </w:r>
      <w:r>
        <w:rPr>
          <w:sz w:val="21"/>
          <w:szCs w:val="21"/>
        </w:rPr>
        <w:t>5</w:t>
      </w:r>
      <w:r>
        <w:rPr>
          <w:rFonts w:ascii="宋体" w:hAnsi="宋体" w:eastAsia="宋体" w:cs="宋体"/>
          <w:sz w:val="21"/>
          <w:szCs w:val="21"/>
        </w:rPr>
        <w:t>日，李强总理在代表国务院作《政府工作报告》时强调，要推出众多民生礼单，持续增进民生福祉。这表明我国（</w:t>
      </w:r>
      <w:r>
        <w:rPr>
          <w:sz w:val="21"/>
          <w:szCs w:val="21"/>
        </w:rPr>
        <w:t xml:space="preserve">    </w:t>
      </w:r>
      <w:r>
        <w:rPr>
          <w:rFonts w:ascii="宋体" w:hAnsi="宋体" w:eastAsia="宋体" w:cs="宋体"/>
          <w:sz w:val="21"/>
          <w:szCs w:val="21"/>
        </w:rPr>
        <w:t>）</w:t>
      </w:r>
    </w:p>
    <w:p w14:paraId="44608973">
      <w:pPr>
        <w:widowControl w:val="0"/>
        <w:spacing w:before="0" w:after="0" w:line="360" w:lineRule="auto"/>
        <w:rPr>
          <w:sz w:val="21"/>
          <w:szCs w:val="21"/>
        </w:rPr>
      </w:pPr>
      <w:r>
        <w:rPr>
          <w:sz w:val="21"/>
          <w:szCs w:val="21"/>
        </w:rPr>
        <w:t xml:space="preserve">A. </w:t>
      </w:r>
      <w:r>
        <w:rPr>
          <w:rFonts w:ascii="宋体" w:hAnsi="宋体" w:eastAsia="宋体" w:cs="宋体"/>
          <w:sz w:val="21"/>
          <w:szCs w:val="21"/>
        </w:rPr>
        <w:t>坚持以人民为中心的发展思想，让人民共享改革发展成果</w:t>
      </w:r>
    </w:p>
    <w:p w14:paraId="707AA44E">
      <w:pPr>
        <w:widowControl w:val="0"/>
        <w:spacing w:before="0" w:after="0" w:line="360" w:lineRule="auto"/>
        <w:rPr>
          <w:sz w:val="21"/>
          <w:szCs w:val="21"/>
        </w:rPr>
      </w:pPr>
      <w:r>
        <w:rPr>
          <w:sz w:val="21"/>
          <w:szCs w:val="21"/>
        </w:rPr>
        <w:t xml:space="preserve">B. </w:t>
      </w:r>
      <w:r>
        <w:rPr>
          <w:rFonts w:ascii="宋体" w:hAnsi="宋体" w:eastAsia="宋体" w:cs="宋体"/>
          <w:sz w:val="21"/>
          <w:szCs w:val="21"/>
        </w:rPr>
        <w:t>实现发展成果绝对公平惠及全体人民，满足美好生活需要</w:t>
      </w:r>
    </w:p>
    <w:p w14:paraId="5E73D8E4">
      <w:pPr>
        <w:widowControl w:val="0"/>
        <w:spacing w:before="0" w:after="0" w:line="360" w:lineRule="auto"/>
        <w:rPr>
          <w:sz w:val="21"/>
          <w:szCs w:val="21"/>
        </w:rPr>
      </w:pPr>
      <w:r>
        <w:rPr>
          <w:sz w:val="21"/>
          <w:szCs w:val="21"/>
        </w:rPr>
        <w:t xml:space="preserve">C. </w:t>
      </w:r>
      <w:r>
        <w:rPr>
          <w:rFonts w:ascii="宋体" w:hAnsi="宋体" w:eastAsia="宋体" w:cs="宋体"/>
          <w:sz w:val="21"/>
          <w:szCs w:val="21"/>
        </w:rPr>
        <w:t>开启全面深化改革的新征程，把新时代改革开放推向前进</w:t>
      </w:r>
    </w:p>
    <w:p w14:paraId="529A178C">
      <w:pPr>
        <w:widowControl w:val="0"/>
        <w:spacing w:before="0" w:after="0" w:line="360" w:lineRule="auto"/>
        <w:rPr>
          <w:sz w:val="21"/>
          <w:szCs w:val="21"/>
        </w:rPr>
      </w:pPr>
      <w:r>
        <w:rPr>
          <w:sz w:val="21"/>
          <w:szCs w:val="21"/>
        </w:rPr>
        <w:t xml:space="preserve">D. </w:t>
      </w:r>
      <w:r>
        <w:rPr>
          <w:rFonts w:ascii="宋体" w:hAnsi="宋体" w:eastAsia="宋体" w:cs="宋体"/>
          <w:sz w:val="21"/>
          <w:szCs w:val="21"/>
        </w:rPr>
        <w:t>始终坚持以社会建设为中心，着力解决我国社会主要矛盾</w:t>
      </w:r>
    </w:p>
    <w:p w14:paraId="74375057">
      <w:pPr>
        <w:widowControl w:val="0"/>
        <w:spacing w:before="0" w:after="0" w:line="360" w:lineRule="auto"/>
        <w:rPr>
          <w:sz w:val="21"/>
          <w:szCs w:val="21"/>
        </w:rPr>
      </w:pPr>
      <w:r>
        <w:rPr>
          <w:sz w:val="21"/>
          <w:szCs w:val="21"/>
        </w:rPr>
        <w:t>5. 2023</w:t>
      </w:r>
      <w:r>
        <w:rPr>
          <w:rFonts w:ascii="宋体" w:hAnsi="宋体" w:eastAsia="宋体" w:cs="宋体"/>
          <w:sz w:val="21"/>
          <w:szCs w:val="21"/>
        </w:rPr>
        <w:t>年</w:t>
      </w:r>
      <w:r>
        <w:rPr>
          <w:sz w:val="21"/>
          <w:szCs w:val="21"/>
        </w:rPr>
        <w:t>12</w:t>
      </w:r>
      <w:r>
        <w:rPr>
          <w:rFonts w:ascii="宋体" w:hAnsi="宋体" w:eastAsia="宋体" w:cs="宋体"/>
          <w:sz w:val="21"/>
          <w:szCs w:val="21"/>
        </w:rPr>
        <w:t>月</w:t>
      </w:r>
      <w:r>
        <w:rPr>
          <w:sz w:val="21"/>
          <w:szCs w:val="21"/>
        </w:rPr>
        <w:t>11</w:t>
      </w:r>
      <w:r>
        <w:rPr>
          <w:rFonts w:ascii="宋体" w:hAnsi="宋体" w:eastAsia="宋体" w:cs="宋体"/>
          <w:sz w:val="21"/>
          <w:szCs w:val="21"/>
        </w:rPr>
        <w:t>日至</w:t>
      </w:r>
      <w:r>
        <w:rPr>
          <w:sz w:val="21"/>
          <w:szCs w:val="21"/>
        </w:rPr>
        <w:t>12</w:t>
      </w:r>
      <w:r>
        <w:rPr>
          <w:rFonts w:ascii="宋体" w:hAnsi="宋体" w:eastAsia="宋体" w:cs="宋体"/>
          <w:sz w:val="21"/>
          <w:szCs w:val="21"/>
        </w:rPr>
        <w:t>日，中央经济工作会议在北京举行。会议指出，要以科技创新推动产业创新，特别是以颠覆性技术和前沿技术催生新产业、新模式、新动能，发展新质生产力。推动新质生产力发展需要（</w:t>
      </w:r>
      <w:r>
        <w:rPr>
          <w:sz w:val="21"/>
          <w:szCs w:val="21"/>
        </w:rPr>
        <w:t xml:space="preserve">    </w:t>
      </w:r>
      <w:r>
        <w:rPr>
          <w:rFonts w:ascii="宋体" w:hAnsi="宋体" w:eastAsia="宋体" w:cs="宋体"/>
          <w:sz w:val="21"/>
          <w:szCs w:val="21"/>
        </w:rPr>
        <w:t>）</w:t>
      </w:r>
    </w:p>
    <w:p w14:paraId="78E2764B">
      <w:pPr>
        <w:widowControl w:val="0"/>
        <w:spacing w:before="0" w:after="0" w:line="360" w:lineRule="auto"/>
        <w:rPr>
          <w:sz w:val="21"/>
          <w:szCs w:val="21"/>
        </w:rPr>
      </w:pPr>
      <w:r>
        <w:rPr>
          <w:rFonts w:ascii="宋体" w:hAnsi="宋体" w:eastAsia="宋体" w:cs="宋体"/>
          <w:sz w:val="21"/>
          <w:szCs w:val="21"/>
        </w:rPr>
        <w:t>①彻底放弃传统产业</w:t>
      </w:r>
      <w:r>
        <w:rPr>
          <w:sz w:val="21"/>
          <w:szCs w:val="21"/>
        </w:rPr>
        <w:t xml:space="preserve">        </w:t>
      </w:r>
      <w:r>
        <w:rPr>
          <w:rFonts w:ascii="宋体" w:hAnsi="宋体" w:eastAsia="宋体" w:cs="宋体"/>
          <w:sz w:val="21"/>
          <w:szCs w:val="21"/>
        </w:rPr>
        <w:t>②发展战略性新兴产业</w:t>
      </w:r>
    </w:p>
    <w:p w14:paraId="450ADD20">
      <w:pPr>
        <w:widowControl w:val="0"/>
        <w:spacing w:before="0" w:after="0" w:line="360" w:lineRule="auto"/>
        <w:rPr>
          <w:sz w:val="21"/>
          <w:szCs w:val="21"/>
        </w:rPr>
      </w:pPr>
      <w:r>
        <w:rPr>
          <w:rFonts w:ascii="宋体" w:hAnsi="宋体" w:eastAsia="宋体" w:cs="宋体"/>
          <w:sz w:val="21"/>
          <w:szCs w:val="21"/>
        </w:rPr>
        <w:t>③加快数字经济发展</w:t>
      </w:r>
      <w:r>
        <w:rPr>
          <w:sz w:val="21"/>
          <w:szCs w:val="21"/>
        </w:rPr>
        <w:t xml:space="preserve">        </w:t>
      </w:r>
      <w:r>
        <w:rPr>
          <w:rFonts w:ascii="宋体" w:hAnsi="宋体" w:eastAsia="宋体" w:cs="宋体"/>
          <w:sz w:val="21"/>
          <w:szCs w:val="21"/>
        </w:rPr>
        <w:t>④推动科技革命性突破</w:t>
      </w:r>
    </w:p>
    <w:p w14:paraId="1217E6E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43FAC7FC">
      <w:pPr>
        <w:widowControl w:val="0"/>
        <w:spacing w:before="0" w:after="0" w:line="360" w:lineRule="auto"/>
        <w:rPr>
          <w:sz w:val="21"/>
          <w:szCs w:val="21"/>
        </w:rPr>
      </w:pPr>
      <w:r>
        <w:rPr>
          <w:sz w:val="21"/>
          <w:szCs w:val="21"/>
        </w:rPr>
        <w:t xml:space="preserve">6. </w:t>
      </w:r>
      <w:r>
        <w:rPr>
          <w:rFonts w:ascii="宋体" w:hAnsi="宋体" w:eastAsia="宋体" w:cs="宋体"/>
          <w:sz w:val="21"/>
          <w:szCs w:val="21"/>
        </w:rPr>
        <w:t>“法不善，则有财而莫理。”“天下之事，不难于立法，而难于法之必行。”这两句古语给我们的启示是（</w:t>
      </w:r>
      <w:r>
        <w:rPr>
          <w:sz w:val="21"/>
          <w:szCs w:val="21"/>
        </w:rPr>
        <w:t xml:space="preserve">    </w:t>
      </w:r>
      <w:r>
        <w:rPr>
          <w:rFonts w:ascii="宋体" w:hAnsi="宋体" w:eastAsia="宋体" w:cs="宋体"/>
          <w:sz w:val="21"/>
          <w:szCs w:val="21"/>
        </w:rPr>
        <w:t>）</w:t>
      </w:r>
    </w:p>
    <w:p w14:paraId="33B39410">
      <w:pPr>
        <w:widowControl w:val="0"/>
        <w:spacing w:before="0" w:after="0" w:line="360" w:lineRule="auto"/>
        <w:rPr>
          <w:sz w:val="21"/>
          <w:szCs w:val="21"/>
        </w:rPr>
      </w:pPr>
      <w:r>
        <w:rPr>
          <w:rFonts w:ascii="宋体" w:hAnsi="宋体" w:eastAsia="宋体" w:cs="宋体"/>
          <w:sz w:val="21"/>
          <w:szCs w:val="21"/>
        </w:rPr>
        <w:t>①加强道德建设，弘扬公序良俗</w:t>
      </w:r>
      <w:r>
        <w:rPr>
          <w:sz w:val="21"/>
          <w:szCs w:val="21"/>
        </w:rPr>
        <w:t xml:space="preserve">        </w:t>
      </w:r>
      <w:r>
        <w:rPr>
          <w:rFonts w:ascii="宋体" w:hAnsi="宋体" w:eastAsia="宋体" w:cs="宋体"/>
          <w:sz w:val="21"/>
          <w:szCs w:val="21"/>
        </w:rPr>
        <w:t>②坚持依法治国与以德治国相结合</w:t>
      </w:r>
    </w:p>
    <w:p w14:paraId="175A7AAC">
      <w:pPr>
        <w:widowControl w:val="0"/>
        <w:spacing w:before="0" w:after="0" w:line="360" w:lineRule="auto"/>
        <w:rPr>
          <w:sz w:val="21"/>
          <w:szCs w:val="21"/>
        </w:rPr>
      </w:pPr>
      <w:r>
        <w:rPr>
          <w:rFonts w:ascii="宋体" w:hAnsi="宋体" w:eastAsia="宋体" w:cs="宋体"/>
          <w:sz w:val="21"/>
          <w:szCs w:val="21"/>
        </w:rPr>
        <w:t>③严格法律实施，建设法治国家</w:t>
      </w:r>
      <w:r>
        <w:rPr>
          <w:sz w:val="21"/>
          <w:szCs w:val="21"/>
        </w:rPr>
        <w:t xml:space="preserve">        </w:t>
      </w:r>
      <w:r>
        <w:rPr>
          <w:rFonts w:ascii="宋体" w:hAnsi="宋体" w:eastAsia="宋体" w:cs="宋体"/>
          <w:sz w:val="21"/>
          <w:szCs w:val="21"/>
        </w:rPr>
        <w:t>④推进良法之治与良法善治相结合</w:t>
      </w:r>
    </w:p>
    <w:p w14:paraId="0EAD61E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34869BA">
      <w:pPr>
        <w:widowControl w:val="0"/>
        <w:spacing w:before="0" w:after="0" w:line="360" w:lineRule="auto"/>
        <w:rPr>
          <w:sz w:val="21"/>
          <w:szCs w:val="21"/>
        </w:rPr>
      </w:pPr>
      <w:r>
        <w:rPr>
          <w:sz w:val="21"/>
          <w:szCs w:val="21"/>
        </w:rPr>
        <w:t xml:space="preserve">7. </w:t>
      </w:r>
      <w:r>
        <w:rPr>
          <w:rFonts w:ascii="宋体" w:hAnsi="宋体" w:eastAsia="宋体" w:cs="宋体"/>
          <w:sz w:val="21"/>
          <w:szCs w:val="21"/>
        </w:rPr>
        <w:t>暑假期间，如果你与父母计划体验红色文化，接受革命传统教育，应该选择的线路是（</w:t>
      </w:r>
      <w:r>
        <w:rPr>
          <w:sz w:val="21"/>
          <w:szCs w:val="21"/>
        </w:rPr>
        <w:t xml:space="preserve">    </w:t>
      </w:r>
      <w:r>
        <w:rPr>
          <w:rFonts w:ascii="宋体" w:hAnsi="宋体" w:eastAsia="宋体" w:cs="宋体"/>
          <w:sz w:val="21"/>
          <w:szCs w:val="21"/>
        </w:rPr>
        <w:t>）</w:t>
      </w:r>
    </w:p>
    <w:tbl>
      <w:tblPr>
        <w:tblStyle w:val="4"/>
        <w:tblW w:w="74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410"/>
        <w:gridCol w:w="6060"/>
      </w:tblGrid>
      <w:tr w14:paraId="5AD9231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410" w:type="dxa"/>
            <w:tcBorders>
              <w:bottom w:val="single" w:color="000000" w:sz="6" w:space="0"/>
              <w:right w:val="single" w:color="000000" w:sz="6" w:space="0"/>
            </w:tcBorders>
            <w:noWrap w:val="0"/>
            <w:tcMar>
              <w:top w:w="76" w:type="dxa"/>
              <w:left w:w="120" w:type="dxa"/>
              <w:bottom w:w="76" w:type="dxa"/>
              <w:right w:w="120" w:type="dxa"/>
            </w:tcMar>
            <w:vAlign w:val="center"/>
          </w:tcPr>
          <w:p w14:paraId="5EACB9F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线路</w:t>
            </w:r>
            <w:r>
              <w:rPr>
                <w:b w:val="0"/>
                <w:bCs w:val="0"/>
                <w:i w:val="0"/>
                <w:iCs w:val="0"/>
                <w:smallCaps w:val="0"/>
                <w:color w:val="000000"/>
                <w:sz w:val="21"/>
                <w:szCs w:val="21"/>
              </w:rPr>
              <w:t>1</w:t>
            </w:r>
          </w:p>
        </w:tc>
        <w:tc>
          <w:tcPr>
            <w:tcW w:w="6060" w:type="dxa"/>
            <w:tcBorders>
              <w:left w:val="single" w:color="000000" w:sz="6" w:space="0"/>
              <w:bottom w:val="single" w:color="000000" w:sz="6" w:space="0"/>
            </w:tcBorders>
            <w:noWrap w:val="0"/>
            <w:tcMar>
              <w:top w:w="76" w:type="dxa"/>
              <w:left w:w="120" w:type="dxa"/>
              <w:bottom w:w="76" w:type="dxa"/>
              <w:right w:w="120" w:type="dxa"/>
            </w:tcMar>
            <w:vAlign w:val="center"/>
          </w:tcPr>
          <w:p w14:paraId="65CC4C6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朱德故里景区—广安小平故里—重庆红岩村—遵义会议会址</w:t>
            </w:r>
          </w:p>
        </w:tc>
      </w:tr>
      <w:tr w14:paraId="33648B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41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A0C502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线路</w:t>
            </w:r>
            <w:r>
              <w:rPr>
                <w:b w:val="0"/>
                <w:bCs w:val="0"/>
                <w:i w:val="0"/>
                <w:iCs w:val="0"/>
                <w:smallCaps w:val="0"/>
                <w:color w:val="000000"/>
                <w:sz w:val="21"/>
                <w:szCs w:val="21"/>
              </w:rPr>
              <w:t>2</w:t>
            </w:r>
          </w:p>
        </w:tc>
        <w:tc>
          <w:tcPr>
            <w:tcW w:w="606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D2C082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绵阳九皇山—九寨沟—黄龙—若尔盖草原</w:t>
            </w:r>
          </w:p>
        </w:tc>
      </w:tr>
      <w:tr w14:paraId="69E5A1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41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8E2AD2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线路</w:t>
            </w:r>
            <w:r>
              <w:rPr>
                <w:b w:val="0"/>
                <w:bCs w:val="0"/>
                <w:i w:val="0"/>
                <w:iCs w:val="0"/>
                <w:smallCaps w:val="0"/>
                <w:color w:val="000000"/>
                <w:sz w:val="21"/>
                <w:szCs w:val="21"/>
              </w:rPr>
              <w:t>3</w:t>
            </w:r>
          </w:p>
        </w:tc>
        <w:tc>
          <w:tcPr>
            <w:tcW w:w="606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6352B8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中国两弹城—四川科技馆—西昌卫星发射中心—中国天眼景区</w:t>
            </w:r>
          </w:p>
        </w:tc>
      </w:tr>
      <w:tr w14:paraId="62F197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410" w:type="dxa"/>
            <w:tcBorders>
              <w:top w:val="single" w:color="000000" w:sz="6" w:space="0"/>
              <w:right w:val="single" w:color="000000" w:sz="6" w:space="0"/>
            </w:tcBorders>
            <w:noWrap w:val="0"/>
            <w:tcMar>
              <w:top w:w="76" w:type="dxa"/>
              <w:left w:w="120" w:type="dxa"/>
              <w:bottom w:w="76" w:type="dxa"/>
              <w:right w:w="120" w:type="dxa"/>
            </w:tcMar>
            <w:vAlign w:val="center"/>
          </w:tcPr>
          <w:p w14:paraId="0DE3071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线路</w:t>
            </w:r>
            <w:r>
              <w:rPr>
                <w:b w:val="0"/>
                <w:bCs w:val="0"/>
                <w:i w:val="0"/>
                <w:iCs w:val="0"/>
                <w:smallCaps w:val="0"/>
                <w:color w:val="000000"/>
                <w:sz w:val="21"/>
                <w:szCs w:val="21"/>
              </w:rPr>
              <w:t>4</w:t>
            </w:r>
          </w:p>
        </w:tc>
        <w:tc>
          <w:tcPr>
            <w:tcW w:w="6060" w:type="dxa"/>
            <w:tcBorders>
              <w:top w:val="single" w:color="000000" w:sz="6" w:space="0"/>
              <w:left w:val="single" w:color="000000" w:sz="6" w:space="0"/>
            </w:tcBorders>
            <w:noWrap w:val="0"/>
            <w:tcMar>
              <w:top w:w="76" w:type="dxa"/>
              <w:left w:w="120" w:type="dxa"/>
              <w:bottom w:w="76" w:type="dxa"/>
              <w:right w:w="120" w:type="dxa"/>
            </w:tcMar>
            <w:vAlign w:val="center"/>
          </w:tcPr>
          <w:p w14:paraId="0E2E6DD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广汉三星堆博物馆—都江堰水利工程—成都武侯祠—乐山大佛</w:t>
            </w:r>
          </w:p>
        </w:tc>
      </w:tr>
    </w:tbl>
    <w:p w14:paraId="5DCBC03E">
      <w:pPr>
        <w:widowControl w:val="0"/>
        <w:spacing w:before="0" w:after="0" w:line="360" w:lineRule="auto"/>
        <w:rPr>
          <w:sz w:val="21"/>
          <w:szCs w:val="21"/>
        </w:rPr>
      </w:pPr>
    </w:p>
    <w:p w14:paraId="6913F42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线路</w:t>
      </w:r>
      <w:r>
        <w:rPr>
          <w:sz w:val="21"/>
          <w:szCs w:val="21"/>
        </w:rPr>
        <w:t>1</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线路</w:t>
      </w:r>
      <w:r>
        <w:rPr>
          <w:sz w:val="21"/>
          <w:szCs w:val="21"/>
        </w:rPr>
        <w:t>2</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线路</w:t>
      </w:r>
      <w:r>
        <w:rPr>
          <w:sz w:val="21"/>
          <w:szCs w:val="21"/>
        </w:rPr>
        <w:t>3</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线路</w:t>
      </w:r>
      <w:r>
        <w:rPr>
          <w:sz w:val="21"/>
          <w:szCs w:val="21"/>
        </w:rPr>
        <w:t>4</w:t>
      </w:r>
    </w:p>
    <w:p w14:paraId="33587097">
      <w:pPr>
        <w:widowControl w:val="0"/>
        <w:spacing w:before="0" w:after="0" w:line="360" w:lineRule="auto"/>
        <w:rPr>
          <w:sz w:val="21"/>
          <w:szCs w:val="21"/>
        </w:rPr>
      </w:pPr>
      <w:r>
        <w:rPr>
          <w:sz w:val="21"/>
          <w:szCs w:val="21"/>
        </w:rPr>
        <w:t>8. 2024</w:t>
      </w:r>
      <w:r>
        <w:rPr>
          <w:rFonts w:ascii="宋体" w:hAnsi="宋体" w:eastAsia="宋体" w:cs="宋体"/>
          <w:sz w:val="21"/>
          <w:szCs w:val="21"/>
        </w:rPr>
        <w:t>年</w:t>
      </w:r>
      <w:r>
        <w:rPr>
          <w:sz w:val="21"/>
          <w:szCs w:val="21"/>
        </w:rPr>
        <w:t>3</w:t>
      </w:r>
      <w:r>
        <w:rPr>
          <w:rFonts w:ascii="宋体" w:hAnsi="宋体" w:eastAsia="宋体" w:cs="宋体"/>
          <w:sz w:val="21"/>
          <w:szCs w:val="21"/>
        </w:rPr>
        <w:t>月</w:t>
      </w:r>
      <w:r>
        <w:rPr>
          <w:sz w:val="21"/>
          <w:szCs w:val="21"/>
        </w:rPr>
        <w:t>19</w:t>
      </w:r>
      <w:r>
        <w:rPr>
          <w:rFonts w:ascii="宋体" w:hAnsi="宋体" w:eastAsia="宋体" w:cs="宋体"/>
          <w:sz w:val="21"/>
          <w:szCs w:val="21"/>
        </w:rPr>
        <w:t>日，香港特区立法会全票通过《维护国家安全条例》，对基本法第</w:t>
      </w:r>
      <w:r>
        <w:rPr>
          <w:sz w:val="21"/>
          <w:szCs w:val="21"/>
        </w:rPr>
        <w:t>23</w:t>
      </w:r>
      <w:r>
        <w:rPr>
          <w:rFonts w:ascii="宋体" w:hAnsi="宋体" w:eastAsia="宋体" w:cs="宋体"/>
          <w:sz w:val="21"/>
          <w:szCs w:val="21"/>
        </w:rPr>
        <w:t>条规定的危害国家安全的行为和活动作出了规管，完善了香港维护国家安全的相关制度机制。该条例的制定（</w:t>
      </w:r>
      <w:r>
        <w:rPr>
          <w:sz w:val="21"/>
          <w:szCs w:val="21"/>
        </w:rPr>
        <w:t xml:space="preserve">    </w:t>
      </w:r>
      <w:r>
        <w:rPr>
          <w:rFonts w:ascii="宋体" w:hAnsi="宋体" w:eastAsia="宋体" w:cs="宋体"/>
          <w:sz w:val="21"/>
          <w:szCs w:val="21"/>
        </w:rPr>
        <w:t>）</w:t>
      </w:r>
    </w:p>
    <w:p w14:paraId="4C767BCE">
      <w:pPr>
        <w:widowControl w:val="0"/>
        <w:spacing w:before="0" w:after="0" w:line="360" w:lineRule="auto"/>
        <w:rPr>
          <w:sz w:val="21"/>
          <w:szCs w:val="21"/>
        </w:rPr>
      </w:pPr>
      <w:r>
        <w:rPr>
          <w:rFonts w:ascii="宋体" w:hAnsi="宋体" w:eastAsia="宋体" w:cs="宋体"/>
          <w:sz w:val="21"/>
          <w:szCs w:val="21"/>
        </w:rPr>
        <w:t>①旨在推动“一国两制”实践行稳致远</w:t>
      </w:r>
      <w:r>
        <w:rPr>
          <w:sz w:val="21"/>
          <w:szCs w:val="21"/>
        </w:rPr>
        <w:t xml:space="preserve">        </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2A49C2D6">
      <w:pPr>
        <w:sectPr>
          <w:headerReference r:id="rId9" w:type="default"/>
          <w:type w:val="continuous"/>
          <w:pgSz w:w="11927" w:h="16875"/>
          <w:pgMar w:top="800" w:right="1120" w:bottom="540" w:left="1120" w:header="708" w:footer="708" w:gutter="0"/>
          <w:cols w:space="708" w:num="1"/>
          <w:docGrid w:linePitch="360" w:charSpace="0"/>
        </w:sectPr>
      </w:pPr>
    </w:p>
    <w:p w14:paraId="291C571C">
      <w:pPr>
        <w:widowControl w:val="0"/>
        <w:spacing w:before="0" w:after="0" w:line="360" w:lineRule="auto"/>
        <w:rPr>
          <w:sz w:val="21"/>
          <w:szCs w:val="21"/>
        </w:rPr>
      </w:pPr>
      <w:r>
        <w:rPr>
          <w:rFonts w:ascii="宋体" w:hAnsi="宋体" w:eastAsia="宋体" w:cs="宋体"/>
          <w:sz w:val="21"/>
          <w:szCs w:val="21"/>
        </w:rPr>
        <w:t>②是履行维护国家安全宪制责任的生动实践</w:t>
      </w:r>
    </w:p>
    <w:p w14:paraId="34D49FC7">
      <w:pPr>
        <w:widowControl w:val="0"/>
        <w:spacing w:before="0" w:after="0" w:line="360" w:lineRule="auto"/>
        <w:rPr>
          <w:sz w:val="21"/>
          <w:szCs w:val="21"/>
        </w:rPr>
      </w:pPr>
      <w:r>
        <w:rPr>
          <w:rFonts w:ascii="宋体" w:hAnsi="宋体" w:eastAsia="宋体" w:cs="宋体"/>
          <w:sz w:val="21"/>
          <w:szCs w:val="21"/>
        </w:rPr>
        <w:t>③直接推动香港建设国际创新科技中心</w:t>
      </w:r>
      <w:r>
        <w:rPr>
          <w:sz w:val="21"/>
          <w:szCs w:val="21"/>
        </w:rPr>
        <w:t xml:space="preserve">        </w:t>
      </w:r>
    </w:p>
    <w:p w14:paraId="1F8D4463">
      <w:pPr>
        <w:widowControl w:val="0"/>
        <w:spacing w:before="0" w:after="0" w:line="360" w:lineRule="auto"/>
        <w:rPr>
          <w:sz w:val="21"/>
          <w:szCs w:val="21"/>
        </w:rPr>
      </w:pPr>
      <w:r>
        <w:rPr>
          <w:rFonts w:ascii="宋体" w:hAnsi="宋体" w:eastAsia="宋体" w:cs="宋体"/>
          <w:sz w:val="21"/>
          <w:szCs w:val="21"/>
        </w:rPr>
        <w:t>④进一步筑牢香港经济社会发展的安全根基</w:t>
      </w:r>
    </w:p>
    <w:p w14:paraId="2BFB685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71BF0145">
      <w:pPr>
        <w:widowControl w:val="0"/>
        <w:spacing w:before="0" w:after="0" w:line="360" w:lineRule="auto"/>
        <w:rPr>
          <w:sz w:val="21"/>
          <w:szCs w:val="21"/>
        </w:rPr>
      </w:pPr>
      <w:r>
        <w:rPr>
          <w:sz w:val="21"/>
          <w:szCs w:val="21"/>
        </w:rPr>
        <w:t xml:space="preserve">9. </w:t>
      </w:r>
      <w:r>
        <w:rPr>
          <w:rFonts w:ascii="宋体" w:hAnsi="宋体" w:eastAsia="宋体" w:cs="宋体"/>
          <w:sz w:val="21"/>
          <w:szCs w:val="21"/>
        </w:rPr>
        <w:t>某校九年级（</w:t>
      </w:r>
      <w:r>
        <w:rPr>
          <w:sz w:val="21"/>
          <w:szCs w:val="21"/>
        </w:rPr>
        <w:t>2</w:t>
      </w:r>
      <w:r>
        <w:rPr>
          <w:rFonts w:ascii="宋体" w:hAnsi="宋体" w:eastAsia="宋体" w:cs="宋体"/>
          <w:sz w:val="21"/>
          <w:szCs w:val="21"/>
        </w:rPr>
        <w:t>）班举行“百年未有之大变局下的中国形势”辩论赛，下列选项能够支撑“中国的发展形势是机遇大于挑战”这一观点的是（</w:t>
      </w:r>
      <w:r>
        <w:rPr>
          <w:sz w:val="21"/>
          <w:szCs w:val="21"/>
        </w:rPr>
        <w:t xml:space="preserve">    </w:t>
      </w:r>
      <w:r>
        <w:rPr>
          <w:rFonts w:ascii="宋体" w:hAnsi="宋体" w:eastAsia="宋体" w:cs="宋体"/>
          <w:sz w:val="21"/>
          <w:szCs w:val="21"/>
        </w:rPr>
        <w:t>）</w:t>
      </w:r>
    </w:p>
    <w:p w14:paraId="28A4E4AF">
      <w:pPr>
        <w:widowControl w:val="0"/>
        <w:spacing w:before="0" w:after="0" w:line="360" w:lineRule="auto"/>
        <w:rPr>
          <w:sz w:val="21"/>
          <w:szCs w:val="21"/>
        </w:rPr>
      </w:pPr>
      <w:r>
        <w:rPr>
          <w:rFonts w:ascii="宋体" w:hAnsi="宋体" w:eastAsia="宋体" w:cs="宋体"/>
          <w:sz w:val="21"/>
          <w:szCs w:val="21"/>
        </w:rPr>
        <w:t>①复杂多变的国际形势，给中国“走出去”战略带来各种严峻挑战</w:t>
      </w:r>
    </w:p>
    <w:p w14:paraId="0BB1DC9A">
      <w:pPr>
        <w:widowControl w:val="0"/>
        <w:spacing w:before="0" w:after="0" w:line="360" w:lineRule="auto"/>
        <w:rPr>
          <w:sz w:val="21"/>
          <w:szCs w:val="21"/>
        </w:rPr>
      </w:pPr>
      <w:r>
        <w:rPr>
          <w:rFonts w:ascii="宋体" w:hAnsi="宋体" w:eastAsia="宋体" w:cs="宋体"/>
          <w:sz w:val="21"/>
          <w:szCs w:val="21"/>
        </w:rPr>
        <w:t>②和平发展合作共赢的时代潮流强劲，为我国提供了良好外部环境</w:t>
      </w:r>
    </w:p>
    <w:p w14:paraId="6E52CD94">
      <w:pPr>
        <w:widowControl w:val="0"/>
        <w:spacing w:before="0" w:after="0" w:line="360" w:lineRule="auto"/>
        <w:rPr>
          <w:sz w:val="21"/>
          <w:szCs w:val="21"/>
        </w:rPr>
      </w:pPr>
      <w:r>
        <w:rPr>
          <w:rFonts w:ascii="宋体" w:hAnsi="宋体" w:eastAsia="宋体" w:cs="宋体"/>
          <w:sz w:val="21"/>
          <w:szCs w:val="21"/>
        </w:rPr>
        <w:t>③我国已转向高质量发展阶段，经济长期向好的基本面并没有改变</w:t>
      </w:r>
    </w:p>
    <w:p w14:paraId="0155B41C">
      <w:pPr>
        <w:widowControl w:val="0"/>
        <w:spacing w:before="0" w:after="0" w:line="360" w:lineRule="auto"/>
        <w:rPr>
          <w:sz w:val="21"/>
          <w:szCs w:val="21"/>
        </w:rPr>
      </w:pPr>
      <w:r>
        <w:rPr>
          <w:rFonts w:ascii="宋体" w:hAnsi="宋体" w:eastAsia="宋体" w:cs="宋体"/>
          <w:sz w:val="21"/>
          <w:szCs w:val="21"/>
        </w:rPr>
        <w:t>④中国智慧能够开拓外交的新局面和解决世界各国面临的所有问题</w:t>
      </w:r>
    </w:p>
    <w:p w14:paraId="6EEAA51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1D5072F2">
      <w:pPr>
        <w:widowControl w:val="0"/>
        <w:spacing w:before="0" w:after="0" w:line="360" w:lineRule="auto"/>
        <w:rPr>
          <w:sz w:val="21"/>
          <w:szCs w:val="21"/>
        </w:rPr>
      </w:pPr>
      <w:r>
        <w:rPr>
          <w:sz w:val="21"/>
          <w:szCs w:val="21"/>
        </w:rPr>
        <w:t xml:space="preserve">10. </w:t>
      </w:r>
      <w:r>
        <w:rPr>
          <w:rFonts w:ascii="宋体" w:hAnsi="宋体" w:eastAsia="宋体" w:cs="宋体"/>
          <w:sz w:val="21"/>
          <w:szCs w:val="21"/>
        </w:rPr>
        <w:t>下面两则新闻事件摘编表明我国（</w:t>
      </w:r>
      <w:r>
        <w:rPr>
          <w:sz w:val="21"/>
          <w:szCs w:val="21"/>
        </w:rPr>
        <w:t xml:space="preserve">    </w:t>
      </w:r>
      <w:r>
        <w:rPr>
          <w:rFonts w:ascii="宋体" w:hAnsi="宋体" w:eastAsia="宋体" w:cs="宋体"/>
          <w:sz w:val="21"/>
          <w:szCs w:val="21"/>
        </w:rPr>
        <w:t>）</w:t>
      </w:r>
    </w:p>
    <w:tbl>
      <w:tblPr>
        <w:tblStyle w:val="4"/>
        <w:tblW w:w="67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795"/>
      </w:tblGrid>
      <w:tr w14:paraId="4829BA5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75" w:hRule="atLeast"/>
        </w:trPr>
        <w:tc>
          <w:tcPr>
            <w:tcW w:w="6795" w:type="dxa"/>
            <w:noWrap w:val="0"/>
            <w:tcMar>
              <w:top w:w="76" w:type="dxa"/>
              <w:left w:w="120" w:type="dxa"/>
              <w:bottom w:w="76" w:type="dxa"/>
              <w:right w:w="120" w:type="dxa"/>
            </w:tcMar>
            <w:vAlign w:val="center"/>
          </w:tcPr>
          <w:p w14:paraId="3F55AD7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☆新一轮巴以冲突爆发后，中国从公平正义的立场出发，不仅积极呼吁双方停火止战，推动用“两国方案”解决巴以问题，还积极斡旋法塔赫与哈马斯的和解进程。</w:t>
            </w:r>
          </w:p>
          <w:p w14:paraId="3A7847D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2023</w:t>
            </w:r>
            <w:r>
              <w:rPr>
                <w:rFonts w:ascii="宋体" w:hAnsi="宋体" w:eastAsia="宋体" w:cs="宋体"/>
                <w:b w:val="0"/>
                <w:bCs w:val="0"/>
                <w:i w:val="0"/>
                <w:iCs w:val="0"/>
                <w:smallCaps w:val="0"/>
                <w:color w:val="000000"/>
                <w:sz w:val="21"/>
                <w:szCs w:val="21"/>
              </w:rPr>
              <w:t>年是中国提出共建“一带一路”倡议</w:t>
            </w:r>
            <w:r>
              <w:rPr>
                <w:b w:val="0"/>
                <w:bCs w:val="0"/>
                <w:i w:val="0"/>
                <w:iCs w:val="0"/>
                <w:smallCaps w:val="0"/>
                <w:color w:val="000000"/>
                <w:sz w:val="21"/>
                <w:szCs w:val="21"/>
              </w:rPr>
              <w:t>10</w:t>
            </w:r>
            <w:r>
              <w:rPr>
                <w:rFonts w:ascii="宋体" w:hAnsi="宋体" w:eastAsia="宋体" w:cs="宋体"/>
                <w:b w:val="0"/>
                <w:bCs w:val="0"/>
                <w:i w:val="0"/>
                <w:iCs w:val="0"/>
                <w:smallCaps w:val="0"/>
                <w:color w:val="000000"/>
                <w:sz w:val="21"/>
                <w:szCs w:val="21"/>
              </w:rPr>
              <w:t>周年。十年来，共建“一带一路”取得了实打实、沉甸甸</w:t>
            </w:r>
            <w:r>
              <w:rPr>
                <w:b w:val="0"/>
                <w:bCs w:val="0"/>
                <w:i w:val="0"/>
                <w:iCs w:val="0"/>
                <w:smallCaps w:val="0"/>
                <w:strike w:val="0"/>
                <w:color w:val="000000"/>
                <w:sz w:val="21"/>
                <w:szCs w:val="21"/>
                <w:u w:val="none"/>
              </w:rPr>
              <w:drawing>
                <wp:inline distT="0" distB="0" distL="114300" distR="114300">
                  <wp:extent cx="133350" cy="180975"/>
                  <wp:effectExtent l="0" t="0" r="0" b="889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b w:val="0"/>
                <w:bCs w:val="0"/>
                <w:i w:val="0"/>
                <w:iCs w:val="0"/>
                <w:smallCaps w:val="0"/>
                <w:color w:val="000000"/>
                <w:sz w:val="21"/>
                <w:szCs w:val="21"/>
              </w:rPr>
              <w:t>重大历史性成就。</w:t>
            </w:r>
          </w:p>
        </w:tc>
      </w:tr>
    </w:tbl>
    <w:p w14:paraId="54D3BF43">
      <w:pPr>
        <w:widowControl w:val="0"/>
        <w:spacing w:before="0" w:after="0" w:line="360" w:lineRule="auto"/>
        <w:rPr>
          <w:sz w:val="21"/>
          <w:szCs w:val="21"/>
        </w:rPr>
      </w:pPr>
      <w:r>
        <w:rPr>
          <w:rFonts w:ascii="宋体" w:hAnsi="宋体" w:eastAsia="宋体" w:cs="宋体"/>
          <w:sz w:val="21"/>
          <w:szCs w:val="21"/>
        </w:rPr>
        <w:t>①充分发挥负责任大国作用，积极贡献中国方案</w:t>
      </w:r>
    </w:p>
    <w:p w14:paraId="1CD1E242">
      <w:pPr>
        <w:widowControl w:val="0"/>
        <w:spacing w:before="0" w:after="0" w:line="360" w:lineRule="auto"/>
        <w:rPr>
          <w:sz w:val="21"/>
          <w:szCs w:val="21"/>
        </w:rPr>
      </w:pPr>
      <w:r>
        <w:rPr>
          <w:rFonts w:ascii="宋体" w:hAnsi="宋体" w:eastAsia="宋体" w:cs="宋体"/>
          <w:sz w:val="21"/>
          <w:szCs w:val="21"/>
        </w:rPr>
        <w:t>②广泛参与国际事务，是世界格局中的重要力量</w:t>
      </w:r>
    </w:p>
    <w:p w14:paraId="2FCF6E27">
      <w:pPr>
        <w:widowControl w:val="0"/>
        <w:spacing w:before="0" w:after="0" w:line="360" w:lineRule="auto"/>
        <w:rPr>
          <w:sz w:val="21"/>
          <w:szCs w:val="21"/>
        </w:rPr>
      </w:pPr>
      <w:r>
        <w:rPr>
          <w:rFonts w:ascii="宋体" w:hAnsi="宋体" w:eastAsia="宋体" w:cs="宋体"/>
          <w:sz w:val="21"/>
          <w:szCs w:val="21"/>
        </w:rPr>
        <w:t>③领导全球治理体系建设和变革，展现大国担当</w:t>
      </w:r>
    </w:p>
    <w:p w14:paraId="05EF3315">
      <w:pPr>
        <w:widowControl w:val="0"/>
        <w:spacing w:before="0" w:after="0" w:line="360" w:lineRule="auto"/>
        <w:rPr>
          <w:sz w:val="21"/>
          <w:szCs w:val="21"/>
        </w:rPr>
      </w:pPr>
      <w:r>
        <w:rPr>
          <w:rFonts w:ascii="宋体" w:hAnsi="宋体" w:eastAsia="宋体" w:cs="宋体"/>
          <w:sz w:val="21"/>
          <w:szCs w:val="21"/>
        </w:rPr>
        <w:t>④与世界其他国家共享发展机遇，实现互利共赢</w:t>
      </w:r>
    </w:p>
    <w:p w14:paraId="4005706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4755CE59">
      <w:pPr>
        <w:widowControl w:val="0"/>
        <w:spacing w:before="0" w:after="0" w:line="286" w:lineRule="auto"/>
      </w:pPr>
      <w:r>
        <w:rPr>
          <w:rFonts w:ascii="宋体" w:hAnsi="宋体" w:eastAsia="宋体" w:cs="宋体"/>
          <w:b/>
          <w:bCs/>
        </w:rPr>
        <w:t>二、非选择题（</w:t>
      </w:r>
      <w:r>
        <w:rPr>
          <w:b/>
          <w:bCs/>
        </w:rPr>
        <w:t>60</w:t>
      </w:r>
      <w:r>
        <w:rPr>
          <w:rFonts w:ascii="宋体" w:hAnsi="宋体" w:eastAsia="宋体" w:cs="宋体"/>
          <w:b/>
          <w:bCs/>
        </w:rPr>
        <w:t>分）</w:t>
      </w:r>
    </w:p>
    <w:p w14:paraId="7CB9DEDD">
      <w:pPr>
        <w:widowControl w:val="0"/>
        <w:spacing w:before="0" w:after="0" w:line="360" w:lineRule="auto"/>
        <w:rPr>
          <w:sz w:val="21"/>
          <w:szCs w:val="21"/>
        </w:rPr>
      </w:pPr>
      <w:r>
        <w:rPr>
          <w:sz w:val="21"/>
          <w:szCs w:val="21"/>
        </w:rPr>
        <w:t xml:space="preserve">11. </w:t>
      </w:r>
      <w:r>
        <w:rPr>
          <w:strike w:val="0"/>
          <w:sz w:val="21"/>
          <w:szCs w:val="21"/>
          <w:u w:val="none"/>
        </w:rPr>
        <w:drawing>
          <wp:inline distT="0" distB="0" distL="114300" distR="114300">
            <wp:extent cx="95250" cy="17145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rFonts w:ascii="宋体" w:hAnsi="宋体" w:eastAsia="宋体" w:cs="宋体"/>
          <w:sz w:val="21"/>
          <w:szCs w:val="21"/>
        </w:rPr>
        <w:t>坚持人民至上</w:t>
      </w:r>
      <w:r>
        <w:rPr>
          <w:sz w:val="21"/>
          <w:szCs w:val="21"/>
        </w:rPr>
        <w:t xml:space="preserve">  </w:t>
      </w:r>
      <w:r>
        <w:rPr>
          <w:rFonts w:ascii="宋体" w:hAnsi="宋体" w:eastAsia="宋体" w:cs="宋体"/>
          <w:sz w:val="21"/>
          <w:szCs w:val="21"/>
        </w:rPr>
        <w:t>发展人民民主】</w:t>
      </w:r>
    </w:p>
    <w:p w14:paraId="013DF9BB">
      <w:pPr>
        <w:widowControl w:val="0"/>
        <w:spacing w:before="0" w:after="0" w:line="360" w:lineRule="auto"/>
        <w:ind w:firstLine="420"/>
        <w:rPr>
          <w:sz w:val="21"/>
          <w:szCs w:val="21"/>
        </w:rPr>
      </w:pPr>
      <w:r>
        <w:rPr>
          <w:rFonts w:ascii="楷体" w:hAnsi="楷体" w:eastAsia="楷体" w:cs="楷体"/>
          <w:sz w:val="21"/>
          <w:szCs w:val="21"/>
        </w:rPr>
        <w:t>全过程人民民主是社会主义民主政治的本质属性，是最真实、最广泛、最管用的民主，不仅有完整的制度程序，而且还有完整的参与实践。</w:t>
      </w:r>
    </w:p>
    <w:tbl>
      <w:tblPr>
        <w:tblStyle w:val="4"/>
        <w:tblW w:w="666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484"/>
        <w:gridCol w:w="3176"/>
      </w:tblGrid>
      <w:tr w14:paraId="750E87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939" w:type="dxa"/>
            <w:tcBorders>
              <w:right w:val="single" w:color="000000" w:sz="6" w:space="0"/>
            </w:tcBorders>
            <w:noWrap w:val="0"/>
            <w:tcMar>
              <w:top w:w="76" w:type="dxa"/>
              <w:left w:w="120" w:type="dxa"/>
              <w:bottom w:w="76" w:type="dxa"/>
              <w:right w:w="120" w:type="dxa"/>
            </w:tcMar>
            <w:vAlign w:val="center"/>
          </w:tcPr>
          <w:p w14:paraId="6C9FA218">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生动实践</w:t>
            </w:r>
            <w:r>
              <w:rPr>
                <w:b w:val="0"/>
                <w:bCs w:val="0"/>
                <w:i w:val="0"/>
                <w:iCs w:val="0"/>
                <w:smallCaps w:val="0"/>
                <w:color w:val="000000"/>
                <w:sz w:val="21"/>
                <w:szCs w:val="21"/>
              </w:rPr>
              <w:t>1</w:t>
            </w:r>
          </w:p>
          <w:p w14:paraId="57DE726B">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十四届全国人大二次会议表决通过了关于政府工作报告的决议草案，表决通过了关于</w:t>
            </w:r>
            <w:r>
              <w:rPr>
                <w:b w:val="0"/>
                <w:bCs w:val="0"/>
                <w:i w:val="0"/>
                <w:iCs w:val="0"/>
                <w:smallCaps w:val="0"/>
                <w:color w:val="000000"/>
                <w:sz w:val="21"/>
                <w:szCs w:val="21"/>
              </w:rPr>
              <w:t>2023</w:t>
            </w:r>
            <w:r>
              <w:rPr>
                <w:rFonts w:ascii="楷体" w:hAnsi="楷体" w:eastAsia="楷体" w:cs="楷体"/>
                <w:b w:val="0"/>
                <w:bCs w:val="0"/>
                <w:i w:val="0"/>
                <w:iCs w:val="0"/>
                <w:smallCaps w:val="0"/>
                <w:color w:val="000000"/>
                <w:sz w:val="21"/>
                <w:szCs w:val="21"/>
              </w:rPr>
              <w:t>年国民经济和社会发展计划执行情况与</w:t>
            </w: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年国民经济和社会</w:t>
            </w:r>
          </w:p>
        </w:tc>
        <w:tc>
          <w:tcPr>
            <w:tcW w:w="3540" w:type="dxa"/>
            <w:tcBorders>
              <w:left w:val="single" w:color="000000" w:sz="6" w:space="0"/>
            </w:tcBorders>
            <w:noWrap w:val="0"/>
            <w:tcMar>
              <w:top w:w="76" w:type="dxa"/>
              <w:left w:w="120" w:type="dxa"/>
              <w:bottom w:w="76" w:type="dxa"/>
              <w:right w:w="120" w:type="dxa"/>
            </w:tcMar>
            <w:vAlign w:val="center"/>
          </w:tcPr>
          <w:p w14:paraId="37B1F30B">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生动实践</w:t>
            </w:r>
            <w:r>
              <w:rPr>
                <w:b w:val="0"/>
                <w:bCs w:val="0"/>
                <w:i w:val="0"/>
                <w:iCs w:val="0"/>
                <w:smallCaps w:val="0"/>
                <w:color w:val="000000"/>
                <w:sz w:val="21"/>
                <w:szCs w:val="21"/>
              </w:rPr>
              <w:t>3</w:t>
            </w:r>
          </w:p>
          <w:p w14:paraId="7A3D9763">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2</w:t>
            </w:r>
            <w:r>
              <w:rPr>
                <w:rFonts w:ascii="楷体" w:hAnsi="楷体" w:eastAsia="楷体" w:cs="楷体"/>
                <w:b w:val="0"/>
                <w:bCs w:val="0"/>
                <w:i w:val="0"/>
                <w:iCs w:val="0"/>
                <w:smallCaps w:val="0"/>
                <w:color w:val="000000"/>
                <w:sz w:val="21"/>
                <w:szCs w:val="21"/>
              </w:rPr>
              <w:t>月</w:t>
            </w:r>
            <w:r>
              <w:rPr>
                <w:b w:val="0"/>
                <w:bCs w:val="0"/>
                <w:i w:val="0"/>
                <w:iCs w:val="0"/>
                <w:smallCaps w:val="0"/>
                <w:color w:val="000000"/>
                <w:sz w:val="21"/>
                <w:szCs w:val="21"/>
              </w:rPr>
              <w:t>2</w:t>
            </w:r>
            <w:r>
              <w:rPr>
                <w:rFonts w:ascii="楷体" w:hAnsi="楷体" w:eastAsia="楷体" w:cs="楷体"/>
                <w:b w:val="0"/>
                <w:bCs w:val="0"/>
                <w:i w:val="0"/>
                <w:iCs w:val="0"/>
                <w:smallCaps w:val="0"/>
                <w:color w:val="000000"/>
                <w:sz w:val="21"/>
                <w:szCs w:val="21"/>
              </w:rPr>
              <w:t>日，内蒙古自治区第十四届人民代表大会第二次会议通过了《内蒙古自治区人民代表大会及其常务安员会立法条例》的决定。</w:t>
            </w:r>
          </w:p>
        </w:tc>
      </w:tr>
    </w:tbl>
    <w:p w14:paraId="44C7843F">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77B3F9E8">
      <w:pPr>
        <w:sectPr>
          <w:headerReference r:id="rId10" w:type="default"/>
          <w:type w:val="continuous"/>
          <w:pgSz w:w="11927" w:h="16875"/>
          <w:pgMar w:top="800" w:right="1120" w:bottom="540" w:left="1120" w:header="708" w:footer="708" w:gutter="0"/>
          <w:cols w:space="708" w:num="1"/>
          <w:docGrid w:linePitch="360" w:charSpace="0"/>
        </w:sectPr>
      </w:pPr>
    </w:p>
    <w:tbl>
      <w:tblPr>
        <w:tblStyle w:val="4"/>
        <w:tblW w:w="666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780"/>
        <w:gridCol w:w="3880"/>
      </w:tblGrid>
      <w:tr w14:paraId="651B326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939" w:type="dxa"/>
            <w:tcBorders>
              <w:bottom w:val="single" w:color="000000" w:sz="6" w:space="0"/>
              <w:right w:val="single" w:color="000000" w:sz="6" w:space="0"/>
            </w:tcBorders>
            <w:noWrap w:val="0"/>
            <w:tcMar>
              <w:top w:w="76" w:type="dxa"/>
              <w:left w:w="120" w:type="dxa"/>
              <w:bottom w:w="76" w:type="dxa"/>
              <w:right w:w="120" w:type="dxa"/>
            </w:tcMar>
            <w:vAlign w:val="center"/>
          </w:tcPr>
          <w:p w14:paraId="4BA6A4DA">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发展计划的决议草案……</w:t>
            </w:r>
          </w:p>
        </w:tc>
        <w:tc>
          <w:tcPr>
            <w:tcW w:w="5791" w:type="dxa"/>
            <w:tcBorders>
              <w:left w:val="single" w:color="000000" w:sz="6" w:space="0"/>
              <w:bottom w:val="single" w:color="000000" w:sz="6" w:space="0"/>
            </w:tcBorders>
            <w:noWrap w:val="0"/>
            <w:tcMar>
              <w:top w:w="76" w:type="dxa"/>
              <w:left w:w="120" w:type="dxa"/>
              <w:bottom w:w="76" w:type="dxa"/>
              <w:right w:w="120" w:type="dxa"/>
            </w:tcMar>
            <w:vAlign w:val="center"/>
          </w:tcPr>
          <w:p w14:paraId="10D9CFFA">
            <w:pPr>
              <w:spacing w:before="0" w:after="0"/>
              <w:rPr>
                <w:b w:val="0"/>
                <w:bCs w:val="0"/>
                <w:i w:val="0"/>
                <w:iCs w:val="0"/>
                <w:smallCaps w:val="0"/>
                <w:color w:val="000000"/>
              </w:rPr>
            </w:pPr>
          </w:p>
        </w:tc>
      </w:tr>
      <w:tr w14:paraId="33317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120" w:type="dxa"/>
            <w:tcBorders>
              <w:top w:val="single" w:color="000000" w:sz="6" w:space="0"/>
              <w:right w:val="single" w:color="000000" w:sz="6" w:space="0"/>
            </w:tcBorders>
            <w:noWrap w:val="0"/>
            <w:tcMar>
              <w:top w:w="76" w:type="dxa"/>
              <w:left w:w="120" w:type="dxa"/>
              <w:bottom w:w="76" w:type="dxa"/>
              <w:right w:w="120" w:type="dxa"/>
            </w:tcMar>
            <w:vAlign w:val="center"/>
          </w:tcPr>
          <w:p w14:paraId="5A86B566">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生动实践</w:t>
            </w:r>
            <w:r>
              <w:rPr>
                <w:b w:val="0"/>
                <w:bCs w:val="0"/>
                <w:i w:val="0"/>
                <w:iCs w:val="0"/>
                <w:smallCaps w:val="0"/>
                <w:color w:val="000000"/>
                <w:sz w:val="21"/>
                <w:szCs w:val="21"/>
              </w:rPr>
              <w:t>2</w:t>
            </w:r>
          </w:p>
          <w:p w14:paraId="1AE84591">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年全国两会期间，多位全国政协委员围绕成渝双城经济圈建设畅所欲言，建言献策。</w:t>
            </w:r>
          </w:p>
        </w:tc>
        <w:tc>
          <w:tcPr>
            <w:tcW w:w="3540" w:type="dxa"/>
            <w:tcBorders>
              <w:top w:val="single" w:color="000000" w:sz="6" w:space="0"/>
              <w:left w:val="single" w:color="000000" w:sz="6" w:space="0"/>
            </w:tcBorders>
            <w:noWrap w:val="0"/>
            <w:tcMar>
              <w:top w:w="76" w:type="dxa"/>
              <w:left w:w="120" w:type="dxa"/>
              <w:bottom w:w="76" w:type="dxa"/>
              <w:right w:w="120" w:type="dxa"/>
            </w:tcMar>
            <w:vAlign w:val="center"/>
          </w:tcPr>
          <w:p w14:paraId="586510FB">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生动实践</w:t>
            </w:r>
            <w:r>
              <w:rPr>
                <w:b w:val="0"/>
                <w:bCs w:val="0"/>
                <w:i w:val="0"/>
                <w:iCs w:val="0"/>
                <w:smallCaps w:val="0"/>
                <w:color w:val="000000"/>
                <w:sz w:val="21"/>
                <w:szCs w:val="21"/>
              </w:rPr>
              <w:t>4</w:t>
            </w:r>
          </w:p>
          <w:p w14:paraId="0A62C1F0">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年，南充市某村利用微信群打造“击鼓议事堂”，实现群众事群众说、群众议、群众定。</w:t>
            </w:r>
          </w:p>
        </w:tc>
      </w:tr>
    </w:tbl>
    <w:p w14:paraId="65F1A712">
      <w:pPr>
        <w:widowControl w:val="0"/>
        <w:spacing w:before="0" w:after="0" w:line="360" w:lineRule="auto"/>
        <w:rPr>
          <w:sz w:val="21"/>
          <w:szCs w:val="21"/>
        </w:rPr>
      </w:pPr>
      <w:r>
        <w:rPr>
          <w:rFonts w:ascii="宋体" w:hAnsi="宋体" w:eastAsia="宋体" w:cs="宋体"/>
          <w:sz w:val="21"/>
          <w:szCs w:val="21"/>
        </w:rPr>
        <w:t>运用所学知识，分别写出上图我国全过程人民民主生动实践的制度保障。</w:t>
      </w:r>
    </w:p>
    <w:p w14:paraId="502C1A9F">
      <w:pPr>
        <w:widowControl w:val="0"/>
        <w:spacing w:before="0" w:after="0" w:line="360" w:lineRule="auto"/>
        <w:rPr>
          <w:sz w:val="21"/>
          <w:szCs w:val="21"/>
        </w:rPr>
      </w:pPr>
      <w:r>
        <w:rPr>
          <w:sz w:val="21"/>
          <w:szCs w:val="21"/>
        </w:rPr>
        <w:t xml:space="preserve">12. </w:t>
      </w:r>
      <w:r>
        <w:rPr>
          <w:rFonts w:ascii="宋体" w:hAnsi="宋体" w:eastAsia="宋体" w:cs="宋体"/>
          <w:sz w:val="21"/>
          <w:szCs w:val="21"/>
        </w:rPr>
        <w:t>【构筑中国价值</w:t>
      </w:r>
      <w:r>
        <w:rPr>
          <w:sz w:val="21"/>
          <w:szCs w:val="21"/>
        </w:rPr>
        <w:t xml:space="preserve">  </w:t>
      </w:r>
      <w:r>
        <w:rPr>
          <w:rFonts w:ascii="宋体" w:hAnsi="宋体" w:eastAsia="宋体" w:cs="宋体"/>
          <w:sz w:val="21"/>
          <w:szCs w:val="21"/>
        </w:rPr>
        <w:t>争做时代新人】</w:t>
      </w:r>
    </w:p>
    <w:p w14:paraId="2AFC1775">
      <w:pPr>
        <w:widowControl w:val="0"/>
        <w:spacing w:before="0" w:after="0" w:line="360" w:lineRule="auto"/>
        <w:ind w:firstLine="420"/>
        <w:rPr>
          <w:sz w:val="21"/>
          <w:szCs w:val="21"/>
        </w:rPr>
      </w:pPr>
      <w:r>
        <w:rPr>
          <w:sz w:val="21"/>
          <w:szCs w:val="21"/>
        </w:rPr>
        <w:t>2024</w:t>
      </w:r>
      <w:r>
        <w:rPr>
          <w:rFonts w:ascii="楷体" w:hAnsi="楷体" w:eastAsia="楷体" w:cs="楷体"/>
          <w:sz w:val="21"/>
          <w:szCs w:val="21"/>
        </w:rPr>
        <w:t>年</w:t>
      </w:r>
      <w:r>
        <w:rPr>
          <w:sz w:val="21"/>
          <w:szCs w:val="21"/>
        </w:rPr>
        <w:t>5</w:t>
      </w:r>
      <w:r>
        <w:rPr>
          <w:rFonts w:ascii="楷体" w:hAnsi="楷体" w:eastAsia="楷体" w:cs="楷体"/>
          <w:sz w:val="21"/>
          <w:szCs w:val="21"/>
        </w:rPr>
        <w:t>月</w:t>
      </w:r>
      <w:r>
        <w:rPr>
          <w:sz w:val="21"/>
          <w:szCs w:val="21"/>
        </w:rPr>
        <w:t>30</w:t>
      </w:r>
      <w:r>
        <w:rPr>
          <w:rFonts w:ascii="楷体" w:hAnsi="楷体" w:eastAsia="楷体" w:cs="楷体"/>
          <w:sz w:val="21"/>
          <w:szCs w:val="21"/>
        </w:rPr>
        <w:t>日，习近平总书记给南充市嘉陵区之江小学学生回信，希望同学们争做爱党爱国、自立自强、奋发向上的新时代好少年。我们必须牢记殷殷嘱托，积极培育和践行社会主义核心价值观，成为有理想、有本领、有担当的时代新人。请填出表格中名言警句所蕴含的社会主义核心价值观。</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600"/>
        <w:gridCol w:w="2130"/>
      </w:tblGrid>
      <w:tr w14:paraId="40A68F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7062C2E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名言警句</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115E5C47">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社会主义核心价值观</w:t>
            </w:r>
          </w:p>
        </w:tc>
      </w:tr>
      <w:tr w14:paraId="4C30780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E74B312">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春蚕到死丝方尽，蜡炬成灰泪始干。</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B60C5A7">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敬业</w:t>
            </w:r>
          </w:p>
        </w:tc>
      </w:tr>
      <w:tr w14:paraId="47C2EA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8ED62C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苟利国家生死以，岂因祸福避趋之。</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D1A41B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w:t>
            </w:r>
          </w:p>
        </w:tc>
      </w:tr>
      <w:tr w14:paraId="194E16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B2A037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大道之行也，天下为公。</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F0BF67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w:t>
            </w:r>
          </w:p>
        </w:tc>
      </w:tr>
      <w:tr w14:paraId="45EB5E5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946D06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人而不信，不知其可也。</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73A87D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w:t>
            </w:r>
          </w:p>
        </w:tc>
      </w:tr>
      <w:tr w14:paraId="5CBA15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205D4E6A">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奉法者强则国强，奉法者弱则国弱。</w:t>
            </w:r>
          </w:p>
        </w:tc>
        <w:tc>
          <w:tcPr>
            <w:tcBorders>
              <w:top w:val="single" w:color="000000" w:sz="6" w:space="0"/>
              <w:left w:val="single" w:color="000000" w:sz="6" w:space="0"/>
            </w:tcBorders>
            <w:noWrap w:val="0"/>
            <w:tcMar>
              <w:top w:w="76" w:type="dxa"/>
              <w:left w:w="120" w:type="dxa"/>
              <w:bottom w:w="76" w:type="dxa"/>
              <w:right w:w="120" w:type="dxa"/>
            </w:tcMar>
            <w:vAlign w:val="center"/>
          </w:tcPr>
          <w:p w14:paraId="700D8F0C">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④</w:t>
            </w:r>
          </w:p>
        </w:tc>
      </w:tr>
    </w:tbl>
    <w:p w14:paraId="4A50618B">
      <w:pPr>
        <w:widowControl w:val="0"/>
        <w:spacing w:before="0" w:after="0" w:line="360" w:lineRule="auto"/>
        <w:rPr>
          <w:sz w:val="21"/>
          <w:szCs w:val="21"/>
        </w:rPr>
      </w:pPr>
    </w:p>
    <w:p w14:paraId="5A08FB72">
      <w:pPr>
        <w:widowControl w:val="0"/>
        <w:spacing w:before="0" w:after="0" w:line="360" w:lineRule="auto"/>
        <w:rPr>
          <w:sz w:val="21"/>
          <w:szCs w:val="21"/>
        </w:rPr>
      </w:pPr>
      <w:r>
        <w:rPr>
          <w:sz w:val="21"/>
          <w:szCs w:val="21"/>
        </w:rPr>
        <w:t xml:space="preserve">13. </w:t>
      </w:r>
      <w:r>
        <w:rPr>
          <w:rFonts w:ascii="宋体" w:hAnsi="宋体" w:eastAsia="宋体" w:cs="宋体"/>
          <w:sz w:val="21"/>
          <w:szCs w:val="21"/>
        </w:rPr>
        <w:t>【感悟思想伟力</w:t>
      </w:r>
      <w:r>
        <w:rPr>
          <w:sz w:val="21"/>
          <w:szCs w:val="21"/>
        </w:rPr>
        <w:t xml:space="preserve">  </w:t>
      </w:r>
      <w:r>
        <w:rPr>
          <w:rFonts w:ascii="宋体" w:hAnsi="宋体" w:eastAsia="宋体" w:cs="宋体"/>
          <w:sz w:val="21"/>
          <w:szCs w:val="21"/>
        </w:rPr>
        <w:t>汲取精神滋养】</w:t>
      </w:r>
    </w:p>
    <w:p w14:paraId="5BD432E5">
      <w:pPr>
        <w:widowControl w:val="0"/>
        <w:spacing w:before="0" w:after="0" w:line="360" w:lineRule="auto"/>
        <w:rPr>
          <w:sz w:val="21"/>
          <w:szCs w:val="21"/>
        </w:rPr>
      </w:pPr>
      <w:r>
        <w:rPr>
          <w:rFonts w:ascii="宋体" w:hAnsi="宋体" w:eastAsia="宋体" w:cs="宋体"/>
          <w:sz w:val="21"/>
          <w:szCs w:val="21"/>
        </w:rPr>
        <w:t>南充某中学道德与法治研究学习小组开展了习近平生态文明思想和外交思想的专题学习。以下是两位同学摘抄的学习材料。</w:t>
      </w:r>
    </w:p>
    <w:tbl>
      <w:tblPr>
        <w:tblStyle w:val="4"/>
        <w:tblW w:w="666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60"/>
      </w:tblGrid>
      <w:tr w14:paraId="5E2B16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660" w:type="dxa"/>
            <w:noWrap w:val="0"/>
            <w:tcMar>
              <w:top w:w="76" w:type="dxa"/>
              <w:left w:w="120" w:type="dxa"/>
              <w:bottom w:w="76" w:type="dxa"/>
              <w:right w:w="120" w:type="dxa"/>
            </w:tcMar>
            <w:vAlign w:val="center"/>
          </w:tcPr>
          <w:p w14:paraId="1832EEEF">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习近平总书记在全国生态环境保护大会上强调，全面推进美丽中国建设，加快推进人与自然和谐共生的现代化。</w:t>
            </w:r>
          </w:p>
        </w:tc>
      </w:tr>
    </w:tbl>
    <w:p w14:paraId="43443A44">
      <w:pPr>
        <w:widowControl w:val="0"/>
        <w:spacing w:before="0" w:after="0" w:line="360" w:lineRule="auto"/>
        <w:rPr>
          <w:sz w:val="21"/>
          <w:szCs w:val="21"/>
        </w:rPr>
      </w:pPr>
    </w:p>
    <w:p w14:paraId="3D12F27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）结合所学知识，简要描述美丽中国的时代图景。</w:t>
      </w:r>
    </w:p>
    <w:tbl>
      <w:tblPr>
        <w:tblStyle w:val="4"/>
        <w:tblW w:w="666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60"/>
      </w:tblGrid>
      <w:tr w14:paraId="1439EB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660" w:type="dxa"/>
            <w:noWrap w:val="0"/>
            <w:tcMar>
              <w:top w:w="76" w:type="dxa"/>
              <w:left w:w="120" w:type="dxa"/>
              <w:bottom w:w="76" w:type="dxa"/>
              <w:right w:w="120" w:type="dxa"/>
            </w:tcMar>
            <w:vAlign w:val="center"/>
          </w:tcPr>
          <w:p w14:paraId="6AAD4B26">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2022</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4</w:t>
            </w:r>
            <w:r>
              <w:rPr>
                <w:rFonts w:ascii="楷体" w:hAnsi="楷体" w:eastAsia="楷体" w:cs="楷体"/>
                <w:b w:val="0"/>
                <w:bCs w:val="0"/>
                <w:i w:val="0"/>
                <w:iCs w:val="0"/>
                <w:smallCaps w:val="0"/>
                <w:color w:val="000000"/>
                <w:sz w:val="21"/>
                <w:szCs w:val="21"/>
              </w:rPr>
              <w:t>月</w:t>
            </w:r>
            <w:r>
              <w:rPr>
                <w:b w:val="0"/>
                <w:bCs w:val="0"/>
                <w:i w:val="0"/>
                <w:iCs w:val="0"/>
                <w:smallCaps w:val="0"/>
                <w:color w:val="000000"/>
                <w:sz w:val="21"/>
                <w:szCs w:val="21"/>
              </w:rPr>
              <w:t>21</w:t>
            </w:r>
            <w:r>
              <w:rPr>
                <w:rFonts w:ascii="楷体" w:hAnsi="楷体" w:eastAsia="楷体" w:cs="楷体"/>
                <w:b w:val="0"/>
                <w:bCs w:val="0"/>
                <w:i w:val="0"/>
                <w:iCs w:val="0"/>
                <w:smallCaps w:val="0"/>
                <w:color w:val="000000"/>
                <w:sz w:val="21"/>
                <w:szCs w:val="21"/>
              </w:rPr>
              <w:t>日，习近平主席在博鳌亚洲论坛年会开幕式上提出全球安全倡议。两年来，习近平主席向世界多次阐述全球安全倡议的理念内涵和时代意义，获得国际社会广泛认同。</w:t>
            </w:r>
          </w:p>
        </w:tc>
      </w:tr>
    </w:tbl>
    <w:p w14:paraId="6455768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）运用所学知识，写出全球安全倡议所体现的构建人类命运共同体的具体内容。</w:t>
      </w:r>
      <w:r>
        <w:rPr>
          <w:strike w:val="0"/>
          <w:sz w:val="21"/>
          <w:szCs w:val="21"/>
          <w:u w:val="none"/>
        </w:rPr>
        <w:drawing>
          <wp:inline distT="0" distB="0" distL="114300" distR="114300">
            <wp:extent cx="28575" cy="28575"/>
            <wp:effectExtent l="0" t="0" r="0" b="0"/>
            <wp:docPr id="100063" name="图片 100063"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page number 3"/>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6206445F">
      <w:pPr>
        <w:sectPr>
          <w:headerReference r:id="rId11" w:type="default"/>
          <w:type w:val="continuous"/>
          <w:pgSz w:w="11927" w:h="16875"/>
          <w:pgMar w:top="800" w:right="1120" w:bottom="540" w:left="1120" w:header="708" w:footer="708" w:gutter="0"/>
          <w:cols w:space="708" w:num="1"/>
          <w:docGrid w:linePitch="360" w:charSpace="0"/>
        </w:sectPr>
      </w:pPr>
    </w:p>
    <w:p w14:paraId="1EC74C04">
      <w:pPr>
        <w:widowControl w:val="0"/>
        <w:spacing w:before="0" w:after="0" w:line="360" w:lineRule="auto"/>
        <w:rPr>
          <w:sz w:val="21"/>
          <w:szCs w:val="21"/>
        </w:rPr>
      </w:pPr>
      <w:r>
        <w:rPr>
          <w:sz w:val="21"/>
          <w:szCs w:val="21"/>
        </w:rPr>
        <w:t xml:space="preserve">14. </w:t>
      </w:r>
      <w:r>
        <w:rPr>
          <w:rFonts w:ascii="宋体" w:hAnsi="宋体" w:eastAsia="宋体" w:cs="宋体"/>
          <w:sz w:val="21"/>
          <w:szCs w:val="21"/>
        </w:rPr>
        <w:t>【完善创新体系</w:t>
      </w:r>
      <w:r>
        <w:rPr>
          <w:sz w:val="21"/>
          <w:szCs w:val="21"/>
        </w:rPr>
        <w:t xml:space="preserve">  </w:t>
      </w:r>
      <w:r>
        <w:rPr>
          <w:rFonts w:ascii="宋体" w:hAnsi="宋体" w:eastAsia="宋体" w:cs="宋体"/>
          <w:sz w:val="21"/>
          <w:szCs w:val="21"/>
        </w:rPr>
        <w:t>建设科技强国】</w:t>
      </w:r>
    </w:p>
    <w:p w14:paraId="14A13F3A">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p>
    <w:p w14:paraId="79255633">
      <w:pPr>
        <w:widowControl w:val="0"/>
        <w:spacing w:before="0" w:after="0" w:line="360" w:lineRule="auto"/>
        <w:rPr>
          <w:sz w:val="21"/>
          <w:szCs w:val="21"/>
        </w:rPr>
      </w:pPr>
      <w:r>
        <w:rPr>
          <w:strike w:val="0"/>
          <w:sz w:val="21"/>
          <w:szCs w:val="21"/>
          <w:u w:val="none"/>
        </w:rPr>
        <w:drawing>
          <wp:inline distT="0" distB="0" distL="114300" distR="114300">
            <wp:extent cx="2505075" cy="1562100"/>
            <wp:effectExtent l="0" t="0" r="0"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05075" cy="1562100"/>
                    </a:xfrm>
                    <a:prstGeom prst="rect">
                      <a:avLst/>
                    </a:prstGeom>
                  </pic:spPr>
                </pic:pic>
              </a:graphicData>
            </a:graphic>
          </wp:inline>
        </w:drawing>
      </w:r>
    </w:p>
    <w:p w14:paraId="4A7B35C3">
      <w:pPr>
        <w:widowControl w:val="0"/>
        <w:spacing w:before="0" w:after="0" w:line="360" w:lineRule="auto"/>
        <w:rPr>
          <w:sz w:val="21"/>
          <w:szCs w:val="21"/>
        </w:rPr>
      </w:pPr>
      <w:r>
        <w:rPr>
          <w:rFonts w:ascii="楷体" w:hAnsi="楷体" w:eastAsia="楷体" w:cs="楷体"/>
          <w:sz w:val="21"/>
          <w:szCs w:val="21"/>
        </w:rPr>
        <w:t>注：中国国家创新指数综合排名由</w:t>
      </w:r>
      <w:r>
        <w:rPr>
          <w:sz w:val="21"/>
          <w:szCs w:val="21"/>
        </w:rPr>
        <w:t>2019</w:t>
      </w:r>
      <w:r>
        <w:rPr>
          <w:rFonts w:ascii="楷体" w:hAnsi="楷体" w:eastAsia="楷体" w:cs="楷体"/>
          <w:sz w:val="21"/>
          <w:szCs w:val="21"/>
        </w:rPr>
        <w:t>年世界第</w:t>
      </w:r>
      <w:r>
        <w:rPr>
          <w:sz w:val="21"/>
          <w:szCs w:val="21"/>
        </w:rPr>
        <w:t>14</w:t>
      </w:r>
      <w:r>
        <w:rPr>
          <w:rFonts w:ascii="楷体" w:hAnsi="楷体" w:eastAsia="楷体" w:cs="楷体"/>
          <w:sz w:val="21"/>
          <w:szCs w:val="21"/>
        </w:rPr>
        <w:t>位上升至</w:t>
      </w:r>
      <w:r>
        <w:rPr>
          <w:sz w:val="21"/>
          <w:szCs w:val="21"/>
        </w:rPr>
        <w:t>2023</w:t>
      </w:r>
      <w:r>
        <w:rPr>
          <w:rFonts w:ascii="楷体" w:hAnsi="楷体" w:eastAsia="楷体" w:cs="楷体"/>
          <w:sz w:val="21"/>
          <w:szCs w:val="21"/>
        </w:rPr>
        <w:t>年世界第</w:t>
      </w:r>
      <w:r>
        <w:rPr>
          <w:sz w:val="21"/>
          <w:szCs w:val="21"/>
        </w:rPr>
        <w:t>10</w:t>
      </w:r>
      <w:r>
        <w:rPr>
          <w:rFonts w:ascii="楷体" w:hAnsi="楷体" w:eastAsia="楷体" w:cs="楷体"/>
          <w:sz w:val="21"/>
          <w:szCs w:val="21"/>
        </w:rPr>
        <w:t>位。</w:t>
      </w:r>
    </w:p>
    <w:p w14:paraId="057256E6">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）材料一反映了什么信息？</w:t>
      </w:r>
    </w:p>
    <w:p w14:paraId="67D6472F">
      <w:pPr>
        <w:widowControl w:val="0"/>
        <w:spacing w:before="0" w:after="0" w:line="360" w:lineRule="auto"/>
        <w:ind w:firstLine="420"/>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南充某中学组织开展“模拟政协”活动，以下是小罗同学撰写的提案。</w:t>
      </w:r>
    </w:p>
    <w:tbl>
      <w:tblPr>
        <w:tblStyle w:val="4"/>
        <w:tblW w:w="651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540"/>
      </w:tblGrid>
      <w:tr w14:paraId="6EF2B0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6510" w:type="dxa"/>
            <w:noWrap w:val="0"/>
            <w:tcMar>
              <w:top w:w="76" w:type="dxa"/>
              <w:left w:w="120" w:type="dxa"/>
              <w:bottom w:w="76" w:type="dxa"/>
              <w:right w:w="120" w:type="dxa"/>
            </w:tcMar>
            <w:vAlign w:val="center"/>
          </w:tcPr>
          <w:p w14:paraId="5345EB9A">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关于</w:t>
            </w:r>
            <w:r>
              <w:rPr>
                <w:rFonts w:ascii="楷体" w:hAnsi="楷体" w:eastAsia="楷体" w:cs="楷体"/>
                <w:b w:val="0"/>
                <w:bCs w:val="0"/>
                <w:i w:val="0"/>
                <w:iCs w:val="0"/>
                <w:smallCaps w:val="0"/>
                <w:color w:val="000000"/>
                <w:sz w:val="21"/>
                <w:szCs w:val="21"/>
                <w:u w:val="single" w:color="000000"/>
              </w:rPr>
              <w:t>加快建设科技强国</w:t>
            </w:r>
            <w:r>
              <w:rPr>
                <w:rFonts w:ascii="楷体" w:hAnsi="楷体" w:eastAsia="楷体" w:cs="楷体"/>
                <w:b w:val="0"/>
                <w:bCs w:val="0"/>
                <w:i w:val="0"/>
                <w:iCs w:val="0"/>
                <w:smallCaps w:val="0"/>
                <w:color w:val="000000"/>
                <w:sz w:val="21"/>
                <w:szCs w:val="21"/>
              </w:rPr>
              <w:t>的提案</w:t>
            </w:r>
          </w:p>
          <w:p w14:paraId="3279CCF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☆提案者：小罗</w:t>
            </w:r>
          </w:p>
          <w:p w14:paraId="1A8ED11A">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所在单位：南充某中学</w:t>
            </w:r>
          </w:p>
          <w:p w14:paraId="17BB0E7D">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☆案由</w:t>
            </w:r>
            <w:r>
              <w:rPr>
                <w:b w:val="0"/>
                <w:bCs w:val="0"/>
                <w:i w:val="0"/>
                <w:iCs w:val="0"/>
                <w:smallCaps w:val="0"/>
                <w:color w:val="000000"/>
                <w:sz w:val="21"/>
                <w:szCs w:val="21"/>
              </w:rPr>
              <w:t xml:space="preserve">        </w:t>
            </w:r>
          </w:p>
          <w:p w14:paraId="6D05257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科技是国家强盛之基，创新是民族进步之魂。党中央坚持把科技自立自强作为国家发展的战略支撑，坚定不移走中国特色自主创新道路。</w:t>
            </w:r>
          </w:p>
          <w:p w14:paraId="053648F1">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☆案据</w:t>
            </w:r>
            <w:r>
              <w:rPr>
                <w:b w:val="0"/>
                <w:bCs w:val="0"/>
                <w:i w:val="0"/>
                <w:iCs w:val="0"/>
                <w:smallCaps w:val="0"/>
                <w:color w:val="000000"/>
                <w:sz w:val="21"/>
                <w:szCs w:val="21"/>
              </w:rPr>
              <w:t xml:space="preserve">        </w:t>
            </w:r>
          </w:p>
          <w:p w14:paraId="4918C242">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重点产业“缺核少心”，关键核心技术受制于人；服务国家重大战略需求的高水平人才紧缺，科技创新人才队伍建设不够；科技管理体制还不能完全适应建设世界科技强国的需要，全社会鼓励创新、包容创新的机制和环境有待优化。</w:t>
            </w:r>
          </w:p>
          <w:p w14:paraId="74FCAC08">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☆具体建议</w:t>
            </w:r>
            <w:r>
              <w:rPr>
                <w:b w:val="0"/>
                <w:bCs w:val="0"/>
                <w:i w:val="0"/>
                <w:iCs w:val="0"/>
                <w:smallCaps w:val="0"/>
                <w:color w:val="000000"/>
                <w:sz w:val="21"/>
                <w:szCs w:val="21"/>
              </w:rPr>
              <w:t xml:space="preserve">   </w:t>
            </w:r>
          </w:p>
          <w:p w14:paraId="3C82A17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____________________________________________________________</w:t>
            </w:r>
          </w:p>
        </w:tc>
      </w:tr>
    </w:tbl>
    <w:p w14:paraId="02D7B320">
      <w:pPr>
        <w:widowControl w:val="0"/>
        <w:spacing w:before="0" w:after="0" w:line="360" w:lineRule="auto"/>
        <w:rPr>
          <w:sz w:val="21"/>
          <w:szCs w:val="21"/>
        </w:rPr>
      </w:pPr>
    </w:p>
    <w:p w14:paraId="29E8FA32">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）结合材料二，运用所学知识，请你帮助小罗同学撰写提案中的具体建议。</w:t>
      </w:r>
    </w:p>
    <w:p w14:paraId="7FDDED78">
      <w:pPr>
        <w:widowControl w:val="0"/>
        <w:spacing w:before="0" w:after="0" w:line="360" w:lineRule="auto"/>
        <w:rPr>
          <w:sz w:val="21"/>
          <w:szCs w:val="21"/>
        </w:rPr>
      </w:pPr>
      <w:r>
        <w:rPr>
          <w:sz w:val="21"/>
          <w:szCs w:val="21"/>
        </w:rPr>
        <w:t>15. 2023</w:t>
      </w:r>
      <w:r>
        <w:rPr>
          <w:rFonts w:ascii="宋体" w:hAnsi="宋体" w:eastAsia="宋体" w:cs="宋体"/>
          <w:sz w:val="21"/>
          <w:szCs w:val="21"/>
        </w:rPr>
        <w:t>年是贯彻党的二十大精神的开局之年，是实施“十四五”规划承上启下的关键一年。中国式现代化的南充实践，彰显了中国式现代化的生命力和实践力。</w:t>
      </w:r>
    </w:p>
    <w:p w14:paraId="7F71B33B">
      <w:pPr>
        <w:widowControl w:val="0"/>
        <w:spacing w:before="0" w:after="0" w:line="360" w:lineRule="auto"/>
        <w:rPr>
          <w:sz w:val="21"/>
          <w:szCs w:val="21"/>
        </w:rPr>
      </w:pPr>
      <w:r>
        <w:rPr>
          <w:rFonts w:ascii="宋体" w:hAnsi="宋体" w:eastAsia="宋体" w:cs="宋体"/>
          <w:sz w:val="21"/>
          <w:szCs w:val="21"/>
        </w:rPr>
        <w:t>【晒出亮丽成绩</w:t>
      </w:r>
      <w:r>
        <w:rPr>
          <w:sz w:val="21"/>
          <w:szCs w:val="21"/>
        </w:rPr>
        <w:t xml:space="preserve">  </w:t>
      </w:r>
      <w:r>
        <w:rPr>
          <w:rFonts w:ascii="宋体" w:hAnsi="宋体" w:eastAsia="宋体" w:cs="宋体"/>
          <w:sz w:val="21"/>
          <w:szCs w:val="21"/>
        </w:rPr>
        <w:t>再谱发展新篇】</w:t>
      </w:r>
    </w:p>
    <w:p w14:paraId="5ECCA8E5">
      <w:pPr>
        <w:widowControl w:val="0"/>
        <w:spacing w:before="0" w:after="0" w:line="360" w:lineRule="auto"/>
        <w:rPr>
          <w:sz w:val="21"/>
          <w:szCs w:val="21"/>
        </w:rPr>
      </w:pPr>
      <w:r>
        <w:rPr>
          <w:rFonts w:ascii="宋体" w:hAnsi="宋体" w:eastAsia="宋体" w:cs="宋体"/>
          <w:sz w:val="21"/>
          <w:szCs w:val="21"/>
        </w:rPr>
        <w:t>以下是《</w:t>
      </w:r>
      <w:r>
        <w:rPr>
          <w:sz w:val="21"/>
          <w:szCs w:val="21"/>
        </w:rPr>
        <w:t>2024</w:t>
      </w:r>
      <w:r>
        <w:rPr>
          <w:rFonts w:ascii="宋体" w:hAnsi="宋体" w:eastAsia="宋体" w:cs="宋体"/>
          <w:sz w:val="21"/>
          <w:szCs w:val="21"/>
        </w:rPr>
        <w:t>年南充市政府工作报告》部分内容摘要。</w:t>
      </w:r>
    </w:p>
    <w:p w14:paraId="000BDEFC">
      <w:pPr>
        <w:widowControl w:val="0"/>
        <w:spacing w:before="0" w:after="0" w:line="360" w:lineRule="auto"/>
        <w:ind w:firstLine="420"/>
        <w:rPr>
          <w:sz w:val="21"/>
          <w:szCs w:val="21"/>
        </w:rPr>
      </w:pPr>
      <w:r>
        <w:rPr>
          <w:rFonts w:ascii="楷体" w:hAnsi="楷体" w:eastAsia="楷体" w:cs="楷体"/>
          <w:sz w:val="21"/>
          <w:szCs w:val="21"/>
        </w:rPr>
        <w:t>☆全年实现地区生产总值</w:t>
      </w:r>
      <w:r>
        <w:rPr>
          <w:sz w:val="21"/>
          <w:szCs w:val="21"/>
        </w:rPr>
        <w:t>2734.8</w:t>
      </w:r>
      <w:r>
        <w:rPr>
          <w:rFonts w:ascii="楷体" w:hAnsi="楷体" w:eastAsia="楷体" w:cs="楷体"/>
          <w:sz w:val="21"/>
          <w:szCs w:val="21"/>
        </w:rPr>
        <w:t>亿元、增长</w:t>
      </w:r>
      <w:r>
        <w:rPr>
          <w:sz w:val="21"/>
          <w:szCs w:val="21"/>
        </w:rPr>
        <w:t>5.5%</w:t>
      </w:r>
      <w:r>
        <w:rPr>
          <w:rFonts w:ascii="楷体" w:hAnsi="楷体" w:eastAsia="楷体" w:cs="楷体"/>
          <w:sz w:val="21"/>
          <w:szCs w:val="21"/>
        </w:rPr>
        <w:t>；农林牧渔业总产值</w:t>
      </w:r>
      <w:r>
        <w:rPr>
          <w:sz w:val="21"/>
          <w:szCs w:val="21"/>
        </w:rPr>
        <w:t>835.8</w:t>
      </w:r>
      <w:r>
        <w:rPr>
          <w:rFonts w:ascii="楷体" w:hAnsi="楷体" w:eastAsia="楷体" w:cs="楷体"/>
          <w:sz w:val="21"/>
          <w:szCs w:val="21"/>
        </w:rPr>
        <w:t>亿元、增长</w:t>
      </w:r>
      <w:r>
        <w:rPr>
          <w:sz w:val="21"/>
          <w:szCs w:val="21"/>
        </w:rPr>
        <w:t>4.1%</w:t>
      </w:r>
      <w:r>
        <w:rPr>
          <w:rFonts w:ascii="楷体" w:hAnsi="楷体" w:eastAsia="楷体" w:cs="楷体"/>
          <w:sz w:val="21"/>
          <w:szCs w:val="21"/>
        </w:rPr>
        <w:t>；规模以上工业增加值增长</w:t>
      </w:r>
      <w:r>
        <w:rPr>
          <w:sz w:val="21"/>
          <w:szCs w:val="21"/>
        </w:rPr>
        <w:t>1.3%</w:t>
      </w:r>
      <w:r>
        <w:rPr>
          <w:rFonts w:ascii="楷体" w:hAnsi="楷体" w:eastAsia="楷体" w:cs="楷体"/>
          <w:sz w:val="21"/>
          <w:szCs w:val="21"/>
        </w:rPr>
        <w:t>；社会消费品零售总额</w:t>
      </w:r>
      <w:r>
        <w:rPr>
          <w:sz w:val="21"/>
          <w:szCs w:val="21"/>
        </w:rPr>
        <w:t>1653.1</w:t>
      </w:r>
      <w:r>
        <w:rPr>
          <w:rFonts w:ascii="楷体" w:hAnsi="楷体" w:eastAsia="楷体" w:cs="楷体"/>
          <w:sz w:val="21"/>
          <w:szCs w:val="21"/>
        </w:rPr>
        <w:t>亿元、增长</w:t>
      </w:r>
      <w:r>
        <w:rPr>
          <w:sz w:val="21"/>
          <w:szCs w:val="21"/>
        </w:rPr>
        <w:t>11.4%</w:t>
      </w:r>
      <w:r>
        <w:rPr>
          <w:rFonts w:ascii="楷体" w:hAnsi="楷体" w:eastAsia="楷体" w:cs="楷体"/>
          <w:sz w:val="21"/>
          <w:szCs w:val="21"/>
        </w:rPr>
        <w:t>。</w:t>
      </w:r>
      <w:r>
        <w:rPr>
          <w:strike w:val="0"/>
          <w:sz w:val="21"/>
          <w:szCs w:val="21"/>
          <w:u w:val="none"/>
        </w:rPr>
        <w:drawing>
          <wp:inline distT="0" distB="0" distL="114300" distR="114300">
            <wp:extent cx="28575" cy="28575"/>
            <wp:effectExtent l="0" t="0" r="0" b="0"/>
            <wp:docPr id="100079" name="图片 100079"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page number 4"/>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5A3729B6">
      <w:pPr>
        <w:sectPr>
          <w:headerReference r:id="rId12" w:type="default"/>
          <w:type w:val="continuous"/>
          <w:pgSz w:w="11927" w:h="16875"/>
          <w:pgMar w:top="800" w:right="1120" w:bottom="540" w:left="1120" w:header="708" w:footer="708" w:gutter="0"/>
          <w:cols w:space="708" w:num="1"/>
          <w:docGrid w:linePitch="360" w:charSpace="0"/>
        </w:sectPr>
      </w:pPr>
    </w:p>
    <w:p w14:paraId="2F0D39A8">
      <w:pPr>
        <w:widowControl w:val="0"/>
        <w:spacing w:before="0" w:after="0" w:line="360" w:lineRule="auto"/>
        <w:ind w:firstLine="420"/>
        <w:rPr>
          <w:sz w:val="21"/>
          <w:szCs w:val="21"/>
        </w:rPr>
      </w:pPr>
      <w:bookmarkStart w:id="0" w:name="_GoBack"/>
      <w:bookmarkEnd w:id="0"/>
      <w:r>
        <w:rPr>
          <w:rFonts w:ascii="楷体" w:hAnsi="楷体" w:eastAsia="楷体" w:cs="楷体"/>
          <w:sz w:val="21"/>
          <w:szCs w:val="21"/>
        </w:rPr>
        <w:t>☆主城区空气质量优良天数率</w:t>
      </w:r>
      <w:r>
        <w:rPr>
          <w:sz w:val="21"/>
          <w:szCs w:val="21"/>
        </w:rPr>
        <w:t>86.6%</w:t>
      </w:r>
      <w:r>
        <w:rPr>
          <w:rFonts w:ascii="楷体" w:hAnsi="楷体" w:eastAsia="楷体" w:cs="楷体"/>
          <w:sz w:val="21"/>
          <w:szCs w:val="21"/>
        </w:rPr>
        <w:t>，嘉陵江干流常年保持Ⅱ类及以上水质，</w:t>
      </w:r>
      <w:r>
        <w:rPr>
          <w:sz w:val="21"/>
          <w:szCs w:val="21"/>
        </w:rPr>
        <w:t>12</w:t>
      </w:r>
      <w:r>
        <w:rPr>
          <w:rFonts w:ascii="楷体" w:hAnsi="楷体" w:eastAsia="楷体" w:cs="楷体"/>
          <w:sz w:val="21"/>
          <w:szCs w:val="21"/>
        </w:rPr>
        <w:t>个国省考核断面水质优良比例、受污染耕地和污染地块安全利用率均达</w:t>
      </w:r>
      <w:r>
        <w:rPr>
          <w:sz w:val="21"/>
          <w:szCs w:val="21"/>
        </w:rPr>
        <w:t>100%</w:t>
      </w:r>
      <w:r>
        <w:rPr>
          <w:rFonts w:ascii="楷体" w:hAnsi="楷体" w:eastAsia="楷体" w:cs="楷体"/>
          <w:sz w:val="21"/>
          <w:szCs w:val="21"/>
        </w:rPr>
        <w:t>。</w:t>
      </w:r>
    </w:p>
    <w:p w14:paraId="30F393C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）结合材料，分别概括南充</w:t>
      </w:r>
      <w:r>
        <w:rPr>
          <w:sz w:val="21"/>
          <w:szCs w:val="21"/>
        </w:rPr>
        <w:t>2023</w:t>
      </w:r>
      <w:r>
        <w:rPr>
          <w:rFonts w:ascii="宋体" w:hAnsi="宋体" w:eastAsia="宋体" w:cs="宋体"/>
          <w:sz w:val="21"/>
          <w:szCs w:val="21"/>
        </w:rPr>
        <w:t>年所取得的亮丽成绩。</w:t>
      </w:r>
    </w:p>
    <w:p w14:paraId="05C1E245">
      <w:pPr>
        <w:widowControl w:val="0"/>
        <w:spacing w:before="0" w:after="0" w:line="360" w:lineRule="auto"/>
        <w:rPr>
          <w:sz w:val="21"/>
          <w:szCs w:val="21"/>
        </w:rPr>
      </w:pPr>
      <w:r>
        <w:rPr>
          <w:rFonts w:ascii="宋体" w:hAnsi="宋体" w:eastAsia="宋体" w:cs="宋体"/>
          <w:sz w:val="21"/>
          <w:szCs w:val="21"/>
        </w:rPr>
        <w:t>【坚持法治思维</w:t>
      </w:r>
      <w:r>
        <w:rPr>
          <w:sz w:val="21"/>
          <w:szCs w:val="21"/>
        </w:rPr>
        <w:t xml:space="preserve">  </w:t>
      </w:r>
      <w:r>
        <w:rPr>
          <w:rFonts w:ascii="宋体" w:hAnsi="宋体" w:eastAsia="宋体" w:cs="宋体"/>
          <w:sz w:val="21"/>
          <w:szCs w:val="21"/>
        </w:rPr>
        <w:t>筑牢生态屏障】</w:t>
      </w:r>
    </w:p>
    <w:p w14:paraId="2F528917">
      <w:pPr>
        <w:widowControl w:val="0"/>
        <w:spacing w:before="0" w:after="0" w:line="360" w:lineRule="auto"/>
        <w:ind w:firstLine="420"/>
        <w:rPr>
          <w:sz w:val="21"/>
          <w:szCs w:val="21"/>
        </w:rPr>
      </w:pPr>
      <w:r>
        <w:rPr>
          <w:sz w:val="21"/>
          <w:szCs w:val="21"/>
        </w:rPr>
        <w:t>2023</w:t>
      </w:r>
      <w:r>
        <w:rPr>
          <w:rFonts w:ascii="楷体" w:hAnsi="楷体" w:eastAsia="楷体" w:cs="楷体"/>
          <w:sz w:val="21"/>
          <w:szCs w:val="21"/>
        </w:rPr>
        <w:t>年，南充全力推动生态文明高质量发展，持续打好蓝天、碧水、净土保卫战。制定全省首部嘉陵江流域地方性法规——《南充市〈四川省嘉陵江流域生态环境保护条例〉实施办法》，于</w:t>
      </w:r>
      <w:r>
        <w:rPr>
          <w:sz w:val="21"/>
          <w:szCs w:val="21"/>
        </w:rPr>
        <w:t>2024</w:t>
      </w:r>
      <w:r>
        <w:rPr>
          <w:rFonts w:ascii="楷体" w:hAnsi="楷体" w:eastAsia="楷体" w:cs="楷体"/>
          <w:sz w:val="21"/>
          <w:szCs w:val="21"/>
        </w:rPr>
        <w:t>年</w:t>
      </w:r>
      <w:r>
        <w:rPr>
          <w:sz w:val="21"/>
          <w:szCs w:val="21"/>
        </w:rPr>
        <w:t>1</w:t>
      </w:r>
      <w:r>
        <w:rPr>
          <w:rFonts w:ascii="楷体" w:hAnsi="楷体" w:eastAsia="楷体" w:cs="楷体"/>
          <w:sz w:val="21"/>
          <w:szCs w:val="21"/>
        </w:rPr>
        <w:t>月</w:t>
      </w:r>
      <w:r>
        <w:rPr>
          <w:sz w:val="21"/>
          <w:szCs w:val="21"/>
        </w:rPr>
        <w:t>1</w:t>
      </w:r>
      <w:r>
        <w:rPr>
          <w:rFonts w:ascii="楷体" w:hAnsi="楷体" w:eastAsia="楷体" w:cs="楷体"/>
          <w:sz w:val="21"/>
          <w:szCs w:val="21"/>
        </w:rPr>
        <w:t>日起实施。加大检查力度，多措并举开展生态环境执法。组织嘉陵江沿线</w:t>
      </w:r>
      <w:r>
        <w:rPr>
          <w:sz w:val="21"/>
          <w:szCs w:val="21"/>
        </w:rPr>
        <w:t>18</w:t>
      </w:r>
      <w:r>
        <w:rPr>
          <w:rFonts w:ascii="楷体" w:hAnsi="楷体" w:eastAsia="楷体" w:cs="楷体"/>
          <w:sz w:val="21"/>
          <w:szCs w:val="21"/>
        </w:rPr>
        <w:t>个人民法庭共建“清水法庭”联盟，严厉惩治非法捕捞、非法采矿、乱砍滥伐等行为。组织开展生态文明建设宣传教育活动，夯实生态文明建设群众基础。</w:t>
      </w:r>
    </w:p>
    <w:p w14:paraId="364AFB13">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）结合材料，运用厉行法治</w:t>
      </w:r>
      <w:r>
        <w:rPr>
          <w:strike w:val="0"/>
          <w:sz w:val="21"/>
          <w:szCs w:val="21"/>
          <w:u w:val="none"/>
        </w:rPr>
        <w:drawing>
          <wp:inline distT="0" distB="0" distL="114300" distR="114300">
            <wp:extent cx="133350" cy="180975"/>
            <wp:effectExtent l="0" t="0" r="0" b="8890"/>
            <wp:docPr id="100093" name="图片 10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知识，请说明南充是如何以法治力量推进生态文明建设的。</w:t>
      </w:r>
    </w:p>
    <w:p w14:paraId="4A63AA05">
      <w:pPr>
        <w:widowControl w:val="0"/>
        <w:spacing w:before="0" w:after="0" w:line="360" w:lineRule="auto"/>
        <w:rPr>
          <w:sz w:val="21"/>
          <w:szCs w:val="21"/>
        </w:rPr>
      </w:pPr>
      <w:r>
        <w:rPr>
          <w:rFonts w:ascii="宋体" w:hAnsi="宋体" w:eastAsia="宋体" w:cs="宋体"/>
          <w:sz w:val="21"/>
          <w:szCs w:val="21"/>
        </w:rPr>
        <w:t>【推介大美南充  助力文旅发展】</w:t>
      </w:r>
    </w:p>
    <w:p w14:paraId="41515F07">
      <w:pPr>
        <w:widowControl w:val="0"/>
        <w:spacing w:before="0" w:after="0" w:line="360" w:lineRule="auto"/>
        <w:ind w:firstLine="420"/>
        <w:rPr>
          <w:sz w:val="21"/>
          <w:szCs w:val="21"/>
        </w:rPr>
      </w:pPr>
      <w:r>
        <w:rPr>
          <w:rFonts w:ascii="楷体" w:hAnsi="楷体" w:eastAsia="楷体" w:cs="楷体"/>
          <w:sz w:val="21"/>
          <w:szCs w:val="21"/>
        </w:rPr>
        <w:t>南充历史悠久，底蕴厚重。三国文化、丝绸文化、红色文化、嘉陵江文化交融生辉，三国遗迹、古城风貌、将帅故里、嘉陵江风光魅力独具。</w:t>
      </w:r>
    </w:p>
    <w:p w14:paraId="0AC5E67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）中国式现代化的南充实践离不开文旅产业的高质量发展。请你撰写两条宣传标语，推介大美南充，助力文旅发展。</w:t>
      </w:r>
      <w:r>
        <w:rPr>
          <w:strike w:val="0"/>
          <w:sz w:val="21"/>
          <w:szCs w:val="21"/>
          <w:u w:val="none"/>
        </w:rPr>
        <w:drawing>
          <wp:inline distT="0" distB="0" distL="114300" distR="114300">
            <wp:extent cx="28575" cy="28575"/>
            <wp:effectExtent l="0" t="0" r="0" b="0"/>
            <wp:docPr id="100095" name="图片 10009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5"/>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75CE5C99"/>
    <w:sectPr>
      <w:headerReference r:id="rId13"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D392C">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A4A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DB4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8D4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59C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7B130">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60177">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616FA">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256CF">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5896">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563EA">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1157009D"/>
    <w:rsid w:val="344A7EB3"/>
    <w:rsid w:val="42F40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2137</Words>
  <Characters>2249</Characters>
  <Lines>1</Lines>
  <Paragraphs>1</Paragraphs>
  <TotalTime>0</TotalTime>
  <ScaleCrop>false</ScaleCrop>
  <LinksUpToDate>false</LinksUpToDate>
  <CharactersWithSpaces>2415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2024-06-22T14:58:00Z</dcterms:created>
  <dc:creator>Administrator</dc:creator>
  <cp:lastModifiedBy>上帝掷骰子吗</cp:lastModifiedBy>
  <dcterms:modified xsi:type="dcterms:W3CDTF">2026-02-09T06:13:38Z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904E73F6B78747F8835931E3C46AA141_12</vt:lpwstr>
  </property>
  <property fmtid="{D5CDD505-2E9C-101B-9397-08002B2CF9AE}" pid="4" name="KSOTemplateDocerSaveRecord">
    <vt:lpwstr>eyJoZGlkIjoiMjljNjk0N2RhMTc0NzI3ZTQwZWEyZWMyMzA2NzliMDQiLCJ1c2VySWQiOiI3ODUwOTA2ODcifQ==</vt:lpwstr>
  </property>
</Properties>
</file>